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7E2" w:rsidRPr="00C9251A" w:rsidRDefault="00B17A24" w:rsidP="00151F6E">
      <w:pPr>
        <w:pStyle w:val="BodyText"/>
      </w:pPr>
      <w:bookmarkStart w:id="0" w:name="_GoBack"/>
      <w:bookmarkEnd w:id="0"/>
      <w:r>
        <w:rPr>
          <w:rFonts w:ascii="Trebuchet MS" w:hAnsi="Trebuchet MS"/>
          <w:noProof/>
          <w:lang w:eastAsia="en-GB"/>
        </w:rPr>
        <w:drawing>
          <wp:anchor distT="0" distB="0" distL="114300" distR="114300" simplePos="0" relativeHeight="251645426" behindDoc="0" locked="0" layoutInCell="1" allowOverlap="1">
            <wp:simplePos x="0" y="0"/>
            <wp:positionH relativeFrom="column">
              <wp:posOffset>-920115</wp:posOffset>
            </wp:positionH>
            <wp:positionV relativeFrom="paragraph">
              <wp:posOffset>-927735</wp:posOffset>
            </wp:positionV>
            <wp:extent cx="7632700" cy="10795000"/>
            <wp:effectExtent l="19050" t="0" r="635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632700" cy="10795000"/>
                    </a:xfrm>
                    <a:prstGeom prst="rect">
                      <a:avLst/>
                    </a:prstGeom>
                    <a:noFill/>
                    <a:ln w="9525">
                      <a:noFill/>
                      <a:miter lim="800000"/>
                      <a:headEnd/>
                      <a:tailEnd/>
                    </a:ln>
                  </pic:spPr>
                </pic:pic>
              </a:graphicData>
            </a:graphic>
          </wp:anchor>
        </w:drawing>
      </w:r>
      <w:r>
        <w:rPr>
          <w:rFonts w:ascii="Trebuchet MS" w:hAnsi="Trebuchet MS"/>
          <w:noProof/>
          <w:lang w:eastAsia="en-GB"/>
        </w:rPr>
        <w:drawing>
          <wp:anchor distT="0" distB="0" distL="114300" distR="114300" simplePos="0" relativeHeight="251680768" behindDoc="0" locked="0" layoutInCell="1" allowOverlap="1">
            <wp:simplePos x="0" y="0"/>
            <wp:positionH relativeFrom="column">
              <wp:posOffset>3495675</wp:posOffset>
            </wp:positionH>
            <wp:positionV relativeFrom="paragraph">
              <wp:posOffset>-1285875</wp:posOffset>
            </wp:positionV>
            <wp:extent cx="3429000" cy="304800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2583" t="16300" r="18195" b="58501"/>
                    <a:stretch>
                      <a:fillRect/>
                    </a:stretch>
                  </pic:blipFill>
                  <pic:spPr bwMode="auto">
                    <a:xfrm>
                      <a:off x="0" y="0"/>
                      <a:ext cx="3429000" cy="3048000"/>
                    </a:xfrm>
                    <a:prstGeom prst="rect">
                      <a:avLst/>
                    </a:prstGeom>
                    <a:noFill/>
                    <a:ln w="9525">
                      <a:noFill/>
                      <a:miter lim="800000"/>
                      <a:headEnd/>
                      <a:tailEnd/>
                    </a:ln>
                  </pic:spPr>
                </pic:pic>
              </a:graphicData>
            </a:graphic>
          </wp:anchor>
        </w:drawing>
      </w:r>
      <w:r w:rsidR="00CE29CD">
        <w:rPr>
          <w:rFonts w:ascii="Trebuchet MS" w:hAnsi="Trebuchet MS"/>
          <w:noProof/>
        </w:rPr>
        <w:pict>
          <v:shapetype id="_x0000_t202" coordsize="21600,21600" o:spt="202" path="m,l,21600r21600,l21600,xe">
            <v:stroke joinstyle="miter"/>
            <v:path gradientshapeok="t" o:connecttype="rect"/>
          </v:shapetype>
          <v:shape id="_x0000_s1027" type="#_x0000_t202" style="position:absolute;margin-left:27.3pt;margin-top:145.75pt;width:380.65pt;height:87.45pt;z-index:251661312;mso-position-horizontal-relative:page;mso-position-vertical-relative:page;v-text-anchor:bottom" filled="f" stroked="f">
            <v:textbox style="mso-next-textbox:#_x0000_s1027">
              <w:txbxContent>
                <w:p w:rsidR="00C07723" w:rsidRPr="007E70F3" w:rsidRDefault="00CE29CD" w:rsidP="007303CB">
                  <w:pPr>
                    <w:pStyle w:val="CoverTitle1"/>
                  </w:pPr>
                  <w:sdt>
                    <w:sdtPr>
                      <w:rPr>
                        <w:sz w:val="60"/>
                        <w:szCs w:val="60"/>
                      </w:rPr>
                      <w:alias w:val="Category"/>
                      <w:id w:val="8227755"/>
                      <w:dataBinding w:prefixMappings="xmlns:ns0='http://purl.org/dc/elements/1.1/' xmlns:ns1='http://schemas.openxmlformats.org/package/2006/metadata/core-properties' " w:xpath="/ns1:coreProperties[1]/ns1:category[1]" w:storeItemID="{6C3C8BC8-F283-45AE-878A-BAB7291924A1}"/>
                      <w:text/>
                    </w:sdtPr>
                    <w:sdtEndPr/>
                    <w:sdtContent>
                      <w:r w:rsidR="00C07723" w:rsidRPr="00B17A24">
                        <w:rPr>
                          <w:sz w:val="60"/>
                          <w:szCs w:val="60"/>
                        </w:rPr>
                        <w:t xml:space="preserve">Research </w:t>
                      </w:r>
                      <w:r w:rsidR="00C07723">
                        <w:rPr>
                          <w:sz w:val="60"/>
                          <w:szCs w:val="60"/>
                        </w:rPr>
                        <w:t>Report</w:t>
                      </w:r>
                    </w:sdtContent>
                  </w:sdt>
                </w:p>
              </w:txbxContent>
            </v:textbox>
            <w10:wrap anchorx="page" anchory="page"/>
            <w10:anchorlock/>
          </v:shape>
        </w:pict>
      </w:r>
      <w:r w:rsidR="00CE29CD">
        <w:rPr>
          <w:rFonts w:ascii="Trebuchet MS" w:hAnsi="Trebuchet MS"/>
          <w:noProof/>
        </w:rPr>
        <w:pict>
          <v:shape id="_x0000_s1028" type="#_x0000_t202" style="position:absolute;margin-left:15pt;margin-top:595pt;width:553.5pt;height:234.2pt;z-index:251662336;mso-position-horizontal-relative:page;mso-position-vertical-relative:page" filled="f" stroked="f">
            <v:textbox style="mso-next-textbox:#_x0000_s1028">
              <w:txbxContent>
                <w:tbl>
                  <w:tblPr>
                    <w:tblW w:w="5133" w:type="pct"/>
                    <w:tblLook w:val="04A0" w:firstRow="1" w:lastRow="0" w:firstColumn="1" w:lastColumn="0" w:noHBand="0" w:noVBand="1"/>
                  </w:tblPr>
                  <w:tblGrid>
                    <w:gridCol w:w="11306"/>
                  </w:tblGrid>
                  <w:tr w:rsidR="00C07723" w:rsidTr="00684002">
                    <w:trPr>
                      <w:trHeight w:val="1896"/>
                    </w:trPr>
                    <w:tc>
                      <w:tcPr>
                        <w:tcW w:w="11307" w:type="dxa"/>
                      </w:tcPr>
                      <w:p w:rsidR="00C07723" w:rsidRDefault="00CE29CD" w:rsidP="00684002">
                        <w:pPr>
                          <w:pStyle w:val="NoSpacing"/>
                          <w:spacing w:after="120"/>
                          <w:rPr>
                            <w:rFonts w:asciiTheme="majorHAnsi" w:eastAsiaTheme="majorEastAsia" w:hAnsiTheme="majorHAnsi" w:cstheme="majorBidi"/>
                            <w:b/>
                            <w:bCs/>
                            <w:color w:val="00577A" w:themeColor="accent1" w:themeShade="BF"/>
                            <w:sz w:val="48"/>
                            <w:szCs w:val="48"/>
                          </w:rPr>
                        </w:pPr>
                        <w:sdt>
                          <w:sdtPr>
                            <w:rPr>
                              <w:rStyle w:val="DocumentTitleChar"/>
                              <w:color w:val="FFFFFF" w:themeColor="background1"/>
                            </w:rPr>
                            <w:alias w:val="Title"/>
                            <w:id w:val="1560877"/>
                            <w:dataBinding w:prefixMappings="xmlns:ns0='http://schemas.openxmlformats.org/package/2006/metadata/core-properties' xmlns:ns1='http://purl.org/dc/elements/1.1/'" w:xpath="/ns0:coreProperties[1]/ns1:title[1]" w:storeItemID="{6C3C8BC8-F283-45AE-878A-BAB7291924A1}"/>
                            <w:text/>
                          </w:sdtPr>
                          <w:sdtEndPr>
                            <w:rPr>
                              <w:rStyle w:val="DocumentTitleChar"/>
                            </w:rPr>
                          </w:sdtEndPr>
                          <w:sdtContent>
                            <w:r w:rsidR="00C07723">
                              <w:rPr>
                                <w:rStyle w:val="DocumentTitleChar"/>
                                <w:color w:val="FFFFFF" w:themeColor="background1"/>
                              </w:rPr>
                              <w:t>Greater Lincolnshire Employer Survey 2014</w:t>
                            </w:r>
                          </w:sdtContent>
                        </w:sdt>
                      </w:p>
                    </w:tc>
                  </w:tr>
                  <w:tr w:rsidR="00C07723" w:rsidTr="00684002">
                    <w:trPr>
                      <w:trHeight w:val="3180"/>
                    </w:trPr>
                    <w:tc>
                      <w:tcPr>
                        <w:tcW w:w="11307" w:type="dxa"/>
                      </w:tcPr>
                      <w:p w:rsidR="00C07723" w:rsidRPr="00B17A24" w:rsidRDefault="00C07723" w:rsidP="00684002">
                        <w:pPr>
                          <w:pStyle w:val="NoSpacing"/>
                          <w:spacing w:after="120"/>
                          <w:rPr>
                            <w:rFonts w:asciiTheme="majorHAnsi" w:hAnsiTheme="majorHAnsi" w:cstheme="majorHAnsi"/>
                            <w:b/>
                            <w:color w:val="FFFFFF" w:themeColor="background1"/>
                            <w:sz w:val="40"/>
                            <w:szCs w:val="28"/>
                          </w:rPr>
                        </w:pPr>
                        <w:r w:rsidRPr="00B17A24">
                          <w:rPr>
                            <w:rStyle w:val="DocumentSubtitleChar"/>
                            <w:rFonts w:cstheme="majorHAnsi"/>
                            <w:color w:val="FFFFFF" w:themeColor="background1"/>
                          </w:rPr>
                          <w:t xml:space="preserve">Prepared for: </w:t>
                        </w:r>
                        <w:sdt>
                          <w:sdtPr>
                            <w:rPr>
                              <w:rStyle w:val="DocumentSubtitleChar"/>
                              <w:rFonts w:cstheme="majorHAnsi"/>
                              <w:color w:val="FFFFFF" w:themeColor="background1"/>
                            </w:rPr>
                            <w:alias w:val="Subtitle"/>
                            <w:id w:val="703864195"/>
                            <w:dataBinding w:prefixMappings="xmlns:ns0='http://schemas.openxmlformats.org/package/2006/metadata/core-properties' xmlns:ns1='http://purl.org/dc/elements/1.1/'" w:xpath="/ns0:coreProperties[1]/ns1:subject[1]" w:storeItemID="{6C3C8BC8-F283-45AE-878A-BAB7291924A1}"/>
                            <w:text/>
                          </w:sdtPr>
                          <w:sdtEndPr>
                            <w:rPr>
                              <w:rStyle w:val="DocumentSubtitleChar"/>
                            </w:rPr>
                          </w:sdtEndPr>
                          <w:sdtContent>
                            <w:r>
                              <w:rPr>
                                <w:rStyle w:val="DocumentSubtitleChar"/>
                                <w:rFonts w:cstheme="majorHAnsi"/>
                                <w:color w:val="FFFFFF" w:themeColor="background1"/>
                              </w:rPr>
                              <w:t>Greater Lincolnshire Local Enterprise Partnership (GLLEP), Lincolnshire County Council and the Lincolnshire and Rutland Employment and Skills Board</w:t>
                            </w:r>
                          </w:sdtContent>
                        </w:sdt>
                      </w:p>
                    </w:tc>
                  </w:tr>
                  <w:tr w:rsidR="00C07723" w:rsidTr="00684002">
                    <w:trPr>
                      <w:trHeight w:val="180"/>
                    </w:trPr>
                    <w:tc>
                      <w:tcPr>
                        <w:tcW w:w="11307" w:type="dxa"/>
                      </w:tcPr>
                      <w:p w:rsidR="00C07723" w:rsidRPr="00B17A24" w:rsidRDefault="00C07723" w:rsidP="00722DD3">
                        <w:pPr>
                          <w:pStyle w:val="NoSpacing"/>
                          <w:spacing w:after="120"/>
                          <w:rPr>
                            <w:rStyle w:val="DocumentSubtitleChar"/>
                            <w:rFonts w:cstheme="majorHAnsi"/>
                            <w:color w:val="FFFFFF" w:themeColor="background1"/>
                          </w:rPr>
                        </w:pPr>
                        <w:r w:rsidRPr="00B17A24">
                          <w:rPr>
                            <w:rStyle w:val="DocumentSubtitleChar"/>
                            <w:rFonts w:cstheme="majorHAnsi"/>
                            <w:color w:val="FFFFFF" w:themeColor="background1"/>
                          </w:rPr>
                          <w:t>Prepared by:</w:t>
                        </w:r>
                      </w:p>
                    </w:tc>
                  </w:tr>
                </w:tbl>
                <w:p w:rsidR="00C07723" w:rsidRPr="00097328" w:rsidRDefault="00C07723" w:rsidP="00097328"/>
              </w:txbxContent>
            </v:textbox>
            <w10:wrap anchorx="page" anchory="page"/>
            <w10:anchorlock/>
          </v:shape>
        </w:pict>
      </w:r>
      <w:r w:rsidR="00CE29CD">
        <w:rPr>
          <w:rFonts w:ascii="Trebuchet MS" w:hAnsi="Trebuchet MS"/>
          <w:noProof/>
        </w:rPr>
        <w:pict>
          <v:rect id="_x0000_s1029" style="position:absolute;margin-left:396pt;margin-top:639.55pt;width:91.15pt;height:91.95pt;z-index:251663360;mso-position-horizontal-relative:text;mso-position-vertical-relative:text" filled="f" stroked="f">
            <w10:wrap type="square"/>
          </v:rect>
        </w:pict>
      </w:r>
    </w:p>
    <w:p w:rsidR="002B09C1" w:rsidRDefault="00684002">
      <w:pPr>
        <w:rPr>
          <w:rStyle w:val="DocumentTitleChar"/>
          <w:b w:val="0"/>
        </w:rPr>
      </w:pPr>
      <w:r>
        <w:rPr>
          <w:rFonts w:asciiTheme="majorHAnsi" w:eastAsiaTheme="majorEastAsia" w:hAnsiTheme="majorHAnsi" w:cstheme="majorBidi"/>
          <w:b/>
          <w:bCs/>
          <w:noProof/>
          <w:color w:val="FFFFFF" w:themeColor="background1"/>
          <w:sz w:val="56"/>
          <w:szCs w:val="48"/>
          <w:lang w:eastAsia="en-GB"/>
        </w:rPr>
        <w:drawing>
          <wp:anchor distT="0" distB="0" distL="114300" distR="114300" simplePos="0" relativeHeight="251681792" behindDoc="0" locked="0" layoutInCell="1" allowOverlap="1">
            <wp:simplePos x="0" y="0"/>
            <wp:positionH relativeFrom="column">
              <wp:posOffset>-915447</wp:posOffset>
            </wp:positionH>
            <wp:positionV relativeFrom="paragraph">
              <wp:posOffset>2144758</wp:posOffset>
            </wp:positionV>
            <wp:extent cx="7577504" cy="4129872"/>
            <wp:effectExtent l="19050" t="0" r="4396" b="0"/>
            <wp:wrapNone/>
            <wp:docPr id="26" name="Picture 26" descr="Hou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using2"/>
                    <pic:cNvPicPr>
                      <a:picLocks noChangeAspect="1" noChangeArrowheads="1"/>
                    </pic:cNvPicPr>
                  </pic:nvPicPr>
                  <pic:blipFill>
                    <a:blip r:embed="rId12" cstate="print"/>
                    <a:stretch>
                      <a:fillRect/>
                    </a:stretch>
                  </pic:blipFill>
                  <pic:spPr bwMode="auto">
                    <a:xfrm>
                      <a:off x="0" y="0"/>
                      <a:ext cx="7587133" cy="4135120"/>
                    </a:xfrm>
                    <a:prstGeom prst="rect">
                      <a:avLst/>
                    </a:prstGeom>
                    <a:noFill/>
                    <a:ln w="9525">
                      <a:noFill/>
                      <a:miter lim="800000"/>
                      <a:headEnd/>
                      <a:tailEnd/>
                    </a:ln>
                  </pic:spPr>
                </pic:pic>
              </a:graphicData>
            </a:graphic>
          </wp:anchor>
        </w:drawing>
      </w:r>
      <w:sdt>
        <w:sdtPr>
          <w:rPr>
            <w:rStyle w:val="DocumentTitleChar"/>
            <w:color w:val="FFFFFF" w:themeColor="background1"/>
          </w:rPr>
          <w:alias w:val="Title"/>
          <w:id w:val="703864190"/>
          <w:dataBinding w:prefixMappings="xmlns:ns0='http://schemas.openxmlformats.org/package/2006/metadata/core-properties' xmlns:ns1='http://purl.org/dc/elements/1.1/'" w:xpath="/ns0:coreProperties[1]/ns1:title[1]" w:storeItemID="{6C3C8BC8-F283-45AE-878A-BAB7291924A1}"/>
          <w:text/>
        </w:sdtPr>
        <w:sdtEndPr>
          <w:rPr>
            <w:rStyle w:val="DocumentTitleChar"/>
          </w:rPr>
        </w:sdtEndPr>
        <w:sdtContent>
          <w:r>
            <w:rPr>
              <w:rStyle w:val="DocumentTitleChar"/>
              <w:color w:val="FFFFFF" w:themeColor="background1"/>
            </w:rPr>
            <w:t>Greater Lincolnshire Employer Survey 2014</w:t>
          </w:r>
        </w:sdtContent>
      </w:sdt>
      <w:r w:rsidR="0064086F">
        <w:rPr>
          <w:rFonts w:asciiTheme="majorHAnsi" w:eastAsiaTheme="majorEastAsia" w:hAnsiTheme="majorHAnsi" w:cstheme="majorBidi"/>
          <w:bCs/>
          <w:noProof/>
          <w:color w:val="4A442A" w:themeColor="background2" w:themeShade="40"/>
          <w:sz w:val="56"/>
          <w:szCs w:val="48"/>
          <w:lang w:eastAsia="en-GB"/>
        </w:rPr>
        <w:t xml:space="preserve"> </w:t>
      </w:r>
      <w:r w:rsidR="002B09C1">
        <w:rPr>
          <w:rStyle w:val="DocumentTitleChar"/>
          <w:b w:val="0"/>
        </w:rPr>
        <w:br w:type="page"/>
      </w:r>
    </w:p>
    <w:p w:rsidR="009548A8" w:rsidRPr="00223995" w:rsidRDefault="00CE29CD" w:rsidP="003737F3">
      <w:pPr>
        <w:pBdr>
          <w:top w:val="single" w:sz="4" w:space="1" w:color="0075A4" w:themeColor="accent1"/>
        </w:pBdr>
        <w:rPr>
          <w:b/>
        </w:rPr>
      </w:pPr>
      <w:sdt>
        <w:sdtPr>
          <w:rPr>
            <w:rStyle w:val="BoilerTextChar"/>
          </w:rPr>
          <w:alias w:val="Title"/>
          <w:id w:val="8227737"/>
          <w:dataBinding w:prefixMappings="xmlns:ns0='http://schemas.openxmlformats.org/package/2006/metadata/core-properties' xmlns:ns1='http://purl.org/dc/elements/1.1/'" w:xpath="/ns0:coreProperties[1]/ns1:title[1]" w:storeItemID="{6C3C8BC8-F283-45AE-878A-BAB7291924A1}"/>
          <w:text/>
        </w:sdtPr>
        <w:sdtEndPr>
          <w:rPr>
            <w:rStyle w:val="BoilerTextChar"/>
          </w:rPr>
        </w:sdtEndPr>
        <w:sdtContent>
          <w:r w:rsidR="00684002">
            <w:rPr>
              <w:rStyle w:val="BoilerTextChar"/>
            </w:rPr>
            <w:t>Greater Lincolnshire Employer Survey 2014</w:t>
          </w:r>
        </w:sdtContent>
      </w:sdt>
    </w:p>
    <w:p w:rsidR="009548A8" w:rsidRPr="00223995" w:rsidRDefault="003737F3" w:rsidP="00C9251A">
      <w:pPr>
        <w:rPr>
          <w:b/>
        </w:rPr>
      </w:pPr>
      <w:r w:rsidRPr="00223995">
        <w:rPr>
          <w:b/>
        </w:rPr>
        <w:t xml:space="preserve">Prepared for:  </w:t>
      </w:r>
      <w:sdt>
        <w:sdtPr>
          <w:rPr>
            <w:b/>
          </w:rPr>
          <w:alias w:val="Subtitle"/>
          <w:id w:val="8227749"/>
          <w:dataBinding w:prefixMappings="xmlns:ns0='http://schemas.openxmlformats.org/package/2006/metadata/core-properties' xmlns:ns1='http://purl.org/dc/elements/1.1/'" w:xpath="/ns0:coreProperties[1]/ns1:subject[1]" w:storeItemID="{6C3C8BC8-F283-45AE-878A-BAB7291924A1}"/>
          <w:text/>
        </w:sdtPr>
        <w:sdtEndPr/>
        <w:sdtContent>
          <w:r w:rsidR="00684002">
            <w:rPr>
              <w:b/>
            </w:rPr>
            <w:t>Greater Lincolnshire Local Enterprise Partnership (GLLEP), Lincolnshire County Council and the Lincolnshire and Rutland Employment and Skills Board</w:t>
          </w:r>
        </w:sdtContent>
      </w:sdt>
    </w:p>
    <w:p w:rsidR="003737F3" w:rsidRPr="00223995" w:rsidRDefault="003737F3" w:rsidP="00C9251A">
      <w:pPr>
        <w:rPr>
          <w:b/>
        </w:rPr>
      </w:pPr>
      <w:r w:rsidRPr="00223995">
        <w:rPr>
          <w:b/>
        </w:rPr>
        <w:t xml:space="preserve">Prepared by:  </w:t>
      </w:r>
      <w:r w:rsidR="00684002">
        <w:rPr>
          <w:b/>
        </w:rPr>
        <w:t>June Wiseman, Director and Emma Parry, Research Manager, BMG Research</w:t>
      </w:r>
    </w:p>
    <w:p w:rsidR="009548A8" w:rsidRPr="00223995" w:rsidRDefault="003C3C9B" w:rsidP="00C9251A">
      <w:pPr>
        <w:pBdr>
          <w:bottom w:val="single" w:sz="4" w:space="1" w:color="0075A4" w:themeColor="accent1"/>
        </w:pBdr>
        <w:rPr>
          <w:b/>
        </w:rPr>
      </w:pPr>
      <w:r w:rsidRPr="00223995">
        <w:rPr>
          <w:b/>
        </w:rPr>
        <w:t>Date:</w:t>
      </w:r>
      <w:r w:rsidR="00684002">
        <w:rPr>
          <w:b/>
        </w:rPr>
        <w:t xml:space="preserve">   Ju</w:t>
      </w:r>
      <w:r w:rsidR="00E3671E">
        <w:rPr>
          <w:b/>
        </w:rPr>
        <w:t>ly</w:t>
      </w:r>
      <w:r w:rsidR="00684002">
        <w:rPr>
          <w:b/>
        </w:rPr>
        <w:t xml:space="preserve"> 2014</w:t>
      </w:r>
      <w:r w:rsidR="00BE5658" w:rsidRPr="00223995">
        <w:rPr>
          <w:b/>
        </w:rPr>
        <w:fldChar w:fldCharType="begin"/>
      </w:r>
      <w:r w:rsidR="00D1571F" w:rsidRPr="00223995">
        <w:rPr>
          <w:b/>
        </w:rPr>
        <w:instrText xml:space="preserve"> { DATE \@ "dddd, MMMM d, yyyy" } </w:instrText>
      </w:r>
      <w:r w:rsidR="00BE5658" w:rsidRPr="00223995">
        <w:rPr>
          <w:b/>
        </w:rPr>
        <w:fldChar w:fldCharType="end"/>
      </w:r>
    </w:p>
    <w:p w:rsidR="00324C5B" w:rsidRDefault="00CE29CD" w:rsidP="00151F6E">
      <w:pPr>
        <w:pStyle w:val="BodyText"/>
        <w:sectPr w:rsidR="00324C5B" w:rsidSect="00412D61">
          <w:pgSz w:w="11907" w:h="16839" w:code="9"/>
          <w:pgMar w:top="1440" w:right="1440" w:bottom="1440" w:left="1440" w:header="708" w:footer="708" w:gutter="0"/>
          <w:pgNumType w:start="1"/>
          <w:cols w:space="708"/>
          <w:docGrid w:linePitch="360"/>
        </w:sect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style="position:absolute;margin-left:-.15pt;margin-top:48pt;width:112.3pt;height:72.4pt;z-index:251682816;visibility:visible">
            <v:imagedata r:id="rId13" o:title=""/>
          </v:shape>
        </w:pict>
      </w:r>
      <w:r>
        <w:rPr>
          <w:noProof/>
          <w:lang w:val="en-US"/>
        </w:rPr>
        <w:pict>
          <v:shape id="_x0000_s1030" type="#_x0000_t202" style="position:absolute;margin-left:64.35pt;margin-top:280.65pt;width:404.35pt;height:503pt;z-index:251664384;mso-position-horizontal-relative:page;mso-position-vertical-relative:page;v-text-anchor:bottom" stroked="f">
            <v:textbox style="mso-next-textbox:#_x0000_s1030">
              <w:txbxContent>
                <w:p w:rsidR="00C07723" w:rsidRPr="00B06D4D" w:rsidRDefault="00C07723" w:rsidP="003737F3">
                  <w:pPr>
                    <w:pStyle w:val="NoSpacing"/>
                    <w:rPr>
                      <w:rFonts w:cstheme="minorHAnsi"/>
                      <w:sz w:val="16"/>
                      <w:szCs w:val="16"/>
                    </w:rPr>
                  </w:pPr>
                </w:p>
                <w:p w:rsidR="00C07723" w:rsidRPr="00B06D4D" w:rsidRDefault="00C07723" w:rsidP="003737F3">
                  <w:pPr>
                    <w:pStyle w:val="NoSpacing"/>
                    <w:rPr>
                      <w:rFonts w:cstheme="minorHAnsi"/>
                      <w:sz w:val="16"/>
                      <w:szCs w:val="16"/>
                    </w:rPr>
                  </w:pPr>
                </w:p>
                <w:p w:rsidR="00C07723" w:rsidRPr="00223995" w:rsidRDefault="00C07723" w:rsidP="00B06D4D">
                  <w:pPr>
                    <w:spacing w:after="60"/>
                    <w:rPr>
                      <w:b/>
                      <w:sz w:val="16"/>
                      <w:szCs w:val="16"/>
                    </w:rPr>
                  </w:pPr>
                  <w:r w:rsidRPr="00223995">
                    <w:rPr>
                      <w:b/>
                      <w:sz w:val="16"/>
                      <w:szCs w:val="16"/>
                    </w:rPr>
                    <w:t>Produced by BMG Research</w:t>
                  </w:r>
                </w:p>
                <w:p w:rsidR="00C07723" w:rsidRPr="00223995" w:rsidRDefault="00C07723" w:rsidP="00B06D4D">
                  <w:pPr>
                    <w:spacing w:after="60"/>
                    <w:rPr>
                      <w:b/>
                      <w:sz w:val="16"/>
                      <w:szCs w:val="16"/>
                    </w:rPr>
                  </w:pPr>
                  <w:r w:rsidRPr="00223995">
                    <w:rPr>
                      <w:b/>
                      <w:sz w:val="16"/>
                      <w:szCs w:val="16"/>
                    </w:rPr>
                    <w:t xml:space="preserve">© Bostock Marketing Group Ltd, </w:t>
                  </w:r>
                  <w:r w:rsidR="00BE5658" w:rsidRPr="00223995">
                    <w:rPr>
                      <w:b/>
                      <w:sz w:val="16"/>
                      <w:szCs w:val="16"/>
                    </w:rPr>
                    <w:fldChar w:fldCharType="begin"/>
                  </w:r>
                  <w:r w:rsidRPr="00223995">
                    <w:rPr>
                      <w:rFonts w:ascii="Arial" w:hAnsi="Arial" w:cs="Arial"/>
                      <w:b/>
                      <w:sz w:val="16"/>
                      <w:szCs w:val="16"/>
                    </w:rPr>
                    <w:instrText>DATE \@ "yyyy"</w:instrText>
                  </w:r>
                  <w:r w:rsidR="00BE5658" w:rsidRPr="00223995">
                    <w:rPr>
                      <w:b/>
                      <w:sz w:val="16"/>
                      <w:szCs w:val="16"/>
                    </w:rPr>
                    <w:fldChar w:fldCharType="separate"/>
                  </w:r>
                  <w:r w:rsidR="00CE29CD">
                    <w:rPr>
                      <w:rFonts w:ascii="Arial" w:hAnsi="Arial" w:cs="Arial"/>
                      <w:b/>
                      <w:noProof/>
                      <w:sz w:val="16"/>
                      <w:szCs w:val="16"/>
                    </w:rPr>
                    <w:t>2014</w:t>
                  </w:r>
                  <w:r w:rsidR="00BE5658" w:rsidRPr="00223995">
                    <w:rPr>
                      <w:b/>
                      <w:sz w:val="16"/>
                      <w:szCs w:val="16"/>
                    </w:rPr>
                    <w:fldChar w:fldCharType="end"/>
                  </w:r>
                </w:p>
                <w:p w:rsidR="00C07723" w:rsidRPr="00223995" w:rsidRDefault="00C07723" w:rsidP="00B06D4D">
                  <w:pPr>
                    <w:spacing w:after="60"/>
                    <w:rPr>
                      <w:b/>
                      <w:sz w:val="16"/>
                      <w:szCs w:val="16"/>
                    </w:rPr>
                  </w:pPr>
                  <w:r w:rsidRPr="00223995">
                    <w:rPr>
                      <w:b/>
                      <w:sz w:val="16"/>
                      <w:szCs w:val="16"/>
                    </w:rPr>
                    <w:t>www.bmgresearch.co.uk</w:t>
                  </w:r>
                </w:p>
                <w:p w:rsidR="00C07723" w:rsidRPr="00223995" w:rsidRDefault="00C07723" w:rsidP="00B06D4D">
                  <w:pPr>
                    <w:spacing w:after="60"/>
                    <w:rPr>
                      <w:sz w:val="16"/>
                      <w:szCs w:val="16"/>
                    </w:rPr>
                  </w:pPr>
                </w:p>
                <w:p w:rsidR="00C07723" w:rsidRDefault="00C07723" w:rsidP="00F9622A">
                  <w:pPr>
                    <w:spacing w:after="60"/>
                    <w:rPr>
                      <w:sz w:val="16"/>
                      <w:szCs w:val="16"/>
                    </w:rPr>
                  </w:pPr>
                  <w:r>
                    <w:rPr>
                      <w:sz w:val="16"/>
                      <w:szCs w:val="16"/>
                    </w:rPr>
                    <w:t>Project:    9380</w:t>
                  </w:r>
                </w:p>
                <w:p w:rsidR="00C07723" w:rsidRPr="00B06D4D" w:rsidRDefault="00C07723" w:rsidP="00F9622A">
                  <w:pPr>
                    <w:spacing w:after="60"/>
                    <w:rPr>
                      <w:sz w:val="16"/>
                      <w:szCs w:val="16"/>
                    </w:rPr>
                  </w:pPr>
                </w:p>
                <w:p w:rsidR="00C07723" w:rsidRPr="00B06D4D" w:rsidRDefault="00C07723" w:rsidP="00F9622A">
                  <w:pPr>
                    <w:spacing w:after="60"/>
                    <w:rPr>
                      <w:color w:val="000000"/>
                      <w:sz w:val="16"/>
                      <w:szCs w:val="16"/>
                    </w:rPr>
                  </w:pPr>
                  <w:r w:rsidRPr="00B06D4D">
                    <w:rPr>
                      <w:rFonts w:cstheme="minorHAnsi"/>
                      <w:color w:val="000000"/>
                      <w:sz w:val="16"/>
                      <w:szCs w:val="16"/>
                    </w:rPr>
                    <w:t>Registered in England No.</w:t>
                  </w:r>
                  <w:r w:rsidRPr="00B06D4D">
                    <w:rPr>
                      <w:color w:val="000000"/>
                      <w:sz w:val="16"/>
                      <w:szCs w:val="16"/>
                    </w:rPr>
                    <w:t xml:space="preserve"> 2841970</w:t>
                  </w:r>
                </w:p>
                <w:p w:rsidR="00C07723" w:rsidRPr="00B06D4D" w:rsidRDefault="00C07723" w:rsidP="00F9622A">
                  <w:pPr>
                    <w:spacing w:after="60"/>
                    <w:rPr>
                      <w:color w:val="000000"/>
                      <w:sz w:val="16"/>
                      <w:szCs w:val="16"/>
                    </w:rPr>
                  </w:pPr>
                  <w:r w:rsidRPr="00B06D4D">
                    <w:rPr>
                      <w:rFonts w:cstheme="minorHAnsi"/>
                      <w:color w:val="000000"/>
                      <w:sz w:val="16"/>
                      <w:szCs w:val="16"/>
                    </w:rPr>
                    <w:t>Registered office:</w:t>
                  </w:r>
                  <w:r w:rsidRPr="00B06D4D">
                    <w:rPr>
                      <w:color w:val="000000"/>
                      <w:sz w:val="16"/>
                      <w:szCs w:val="16"/>
                    </w:rPr>
                    <w:t xml:space="preserve"> </w:t>
                  </w:r>
                </w:p>
                <w:p w:rsidR="00C07723" w:rsidRDefault="00C07723" w:rsidP="00F9622A">
                  <w:pPr>
                    <w:spacing w:after="60"/>
                    <w:rPr>
                      <w:color w:val="000000"/>
                      <w:sz w:val="16"/>
                      <w:szCs w:val="16"/>
                    </w:rPr>
                  </w:pPr>
                  <w:r w:rsidRPr="00B06D4D">
                    <w:rPr>
                      <w:color w:val="000000"/>
                      <w:sz w:val="16"/>
                      <w:szCs w:val="16"/>
                    </w:rPr>
                    <w:t xml:space="preserve">7 Holt Court </w:t>
                  </w:r>
                  <w:r>
                    <w:rPr>
                      <w:color w:val="000000"/>
                      <w:sz w:val="16"/>
                      <w:szCs w:val="16"/>
                    </w:rPr>
                    <w:t>North</w:t>
                  </w:r>
                  <w:r w:rsidRPr="00B06D4D">
                    <w:rPr>
                      <w:color w:val="000000"/>
                      <w:sz w:val="16"/>
                      <w:szCs w:val="16"/>
                    </w:rPr>
                    <w:br/>
                    <w:t>Heneage Street West</w:t>
                  </w:r>
                  <w:r w:rsidRPr="00B06D4D">
                    <w:rPr>
                      <w:color w:val="000000"/>
                      <w:sz w:val="16"/>
                      <w:szCs w:val="16"/>
                    </w:rPr>
                    <w:br/>
                    <w:t>Aston Science Park</w:t>
                  </w:r>
                  <w:r w:rsidRPr="00B06D4D">
                    <w:rPr>
                      <w:color w:val="000000"/>
                      <w:sz w:val="16"/>
                      <w:szCs w:val="16"/>
                    </w:rPr>
                    <w:br/>
                    <w:t xml:space="preserve">Birmingham </w:t>
                  </w:r>
                  <w:r w:rsidRPr="00B06D4D">
                    <w:rPr>
                      <w:color w:val="000000"/>
                      <w:sz w:val="16"/>
                      <w:szCs w:val="16"/>
                    </w:rPr>
                    <w:br/>
                    <w:t>B7 4AX</w:t>
                  </w:r>
                  <w:r>
                    <w:rPr>
                      <w:color w:val="000000"/>
                      <w:sz w:val="16"/>
                      <w:szCs w:val="16"/>
                    </w:rPr>
                    <w:br/>
                    <w:t>UK</w:t>
                  </w:r>
                </w:p>
                <w:p w:rsidR="00C07723" w:rsidRDefault="00C07723" w:rsidP="00F9622A">
                  <w:pPr>
                    <w:spacing w:after="60"/>
                    <w:rPr>
                      <w:color w:val="000000"/>
                      <w:sz w:val="16"/>
                      <w:szCs w:val="16"/>
                    </w:rPr>
                  </w:pPr>
                  <w:r>
                    <w:rPr>
                      <w:color w:val="000000"/>
                      <w:sz w:val="16"/>
                      <w:szCs w:val="16"/>
                    </w:rPr>
                    <w:t>Tel: +44 (0) 121 3336006</w:t>
                  </w:r>
                </w:p>
                <w:p w:rsidR="00C07723" w:rsidRPr="00B06D4D" w:rsidRDefault="00C07723" w:rsidP="00F9622A">
                  <w:pPr>
                    <w:spacing w:after="60"/>
                    <w:rPr>
                      <w:color w:val="000000"/>
                      <w:sz w:val="16"/>
                      <w:szCs w:val="16"/>
                    </w:rPr>
                  </w:pPr>
                </w:p>
                <w:p w:rsidR="00C07723" w:rsidRPr="00B06D4D" w:rsidRDefault="00C07723" w:rsidP="00F9622A">
                  <w:pPr>
                    <w:spacing w:after="60"/>
                    <w:rPr>
                      <w:color w:val="000000"/>
                      <w:sz w:val="16"/>
                      <w:szCs w:val="16"/>
                    </w:rPr>
                  </w:pPr>
                  <w:r w:rsidRPr="00B06D4D">
                    <w:rPr>
                      <w:rFonts w:cstheme="minorHAnsi"/>
                      <w:color w:val="000000"/>
                      <w:sz w:val="16"/>
                      <w:szCs w:val="16"/>
                    </w:rPr>
                    <w:t>UK VAT Registration No.</w:t>
                  </w:r>
                  <w:r w:rsidRPr="00B06D4D">
                    <w:rPr>
                      <w:color w:val="000000"/>
                      <w:sz w:val="16"/>
                      <w:szCs w:val="16"/>
                    </w:rPr>
                    <w:t xml:space="preserve"> 580 6606 32</w:t>
                  </w:r>
                </w:p>
                <w:p w:rsidR="00C07723" w:rsidRPr="00B06D4D" w:rsidRDefault="00C07723" w:rsidP="00F9622A">
                  <w:pPr>
                    <w:spacing w:after="60"/>
                    <w:rPr>
                      <w:color w:val="000000"/>
                      <w:sz w:val="16"/>
                      <w:szCs w:val="16"/>
                    </w:rPr>
                  </w:pPr>
                  <w:r w:rsidRPr="00B06D4D">
                    <w:rPr>
                      <w:rFonts w:cstheme="minorHAnsi"/>
                      <w:color w:val="000000"/>
                      <w:sz w:val="16"/>
                      <w:szCs w:val="16"/>
                    </w:rPr>
                    <w:t>Birmingham Chamber of Commerce Member No.</w:t>
                  </w:r>
                  <w:r w:rsidRPr="00B06D4D">
                    <w:rPr>
                      <w:color w:val="000000"/>
                      <w:sz w:val="16"/>
                      <w:szCs w:val="16"/>
                    </w:rPr>
                    <w:t xml:space="preserve"> B4626</w:t>
                  </w:r>
                </w:p>
                <w:p w:rsidR="00C07723" w:rsidRPr="00B06D4D" w:rsidRDefault="00C07723" w:rsidP="00F9622A">
                  <w:pPr>
                    <w:spacing w:after="60"/>
                    <w:rPr>
                      <w:color w:val="000000"/>
                      <w:sz w:val="16"/>
                      <w:szCs w:val="16"/>
                    </w:rPr>
                  </w:pPr>
                  <w:r w:rsidRPr="00B06D4D">
                    <w:rPr>
                      <w:rFonts w:cstheme="minorHAnsi"/>
                      <w:color w:val="000000"/>
                      <w:sz w:val="16"/>
                      <w:szCs w:val="16"/>
                    </w:rPr>
                    <w:t>Market Research Society Company Partner</w:t>
                  </w:r>
                </w:p>
                <w:p w:rsidR="00C07723" w:rsidRDefault="00C07723" w:rsidP="00F9622A">
                  <w:pPr>
                    <w:spacing w:after="60"/>
                    <w:rPr>
                      <w:color w:val="000000"/>
                      <w:sz w:val="16"/>
                      <w:szCs w:val="16"/>
                    </w:rPr>
                  </w:pPr>
                  <w:r w:rsidRPr="00B06D4D">
                    <w:rPr>
                      <w:rFonts w:cstheme="minorHAnsi"/>
                      <w:color w:val="000000"/>
                      <w:sz w:val="16"/>
                      <w:szCs w:val="16"/>
                    </w:rPr>
                    <w:t>British Quality Foundation Member</w:t>
                  </w:r>
                  <w:r w:rsidRPr="00B06D4D">
                    <w:rPr>
                      <w:color w:val="000000"/>
                      <w:sz w:val="16"/>
                      <w:szCs w:val="16"/>
                    </w:rPr>
                    <w:t xml:space="preserve"> </w:t>
                  </w:r>
                </w:p>
                <w:p w:rsidR="00C07723" w:rsidRDefault="00C07723" w:rsidP="00F9622A">
                  <w:pPr>
                    <w:spacing w:after="60"/>
                    <w:rPr>
                      <w:color w:val="000000"/>
                      <w:sz w:val="16"/>
                      <w:szCs w:val="16"/>
                    </w:rPr>
                  </w:pPr>
                  <w:r>
                    <w:rPr>
                      <w:color w:val="000000"/>
                      <w:sz w:val="16"/>
                      <w:szCs w:val="16"/>
                    </w:rPr>
                    <w:t>The provision of Market Research Services in accordance with ISO 20252:2012</w:t>
                  </w:r>
                </w:p>
                <w:p w:rsidR="00C07723" w:rsidRPr="00B06D4D" w:rsidRDefault="00C07723" w:rsidP="00F9622A">
                  <w:pPr>
                    <w:spacing w:after="60"/>
                    <w:rPr>
                      <w:color w:val="000000"/>
                      <w:sz w:val="16"/>
                      <w:szCs w:val="16"/>
                    </w:rPr>
                  </w:pPr>
                  <w:r>
                    <w:rPr>
                      <w:color w:val="000000"/>
                      <w:sz w:val="16"/>
                      <w:szCs w:val="16"/>
                    </w:rPr>
                    <w:t>The provision of Market Research Services in accordance with ISO 9001:2008</w:t>
                  </w:r>
                </w:p>
                <w:p w:rsidR="00C07723" w:rsidRPr="00B06D4D" w:rsidRDefault="00C07723" w:rsidP="00F9622A">
                  <w:pPr>
                    <w:spacing w:after="60"/>
                    <w:rPr>
                      <w:color w:val="000000"/>
                      <w:sz w:val="16"/>
                      <w:szCs w:val="16"/>
                    </w:rPr>
                  </w:pPr>
                  <w:r w:rsidRPr="00B06D4D">
                    <w:rPr>
                      <w:rFonts w:cstheme="minorHAnsi"/>
                      <w:color w:val="000000"/>
                      <w:sz w:val="16"/>
                      <w:szCs w:val="16"/>
                    </w:rPr>
                    <w:t xml:space="preserve">Investors in People Standard </w:t>
                  </w:r>
                  <w:r>
                    <w:rPr>
                      <w:rFonts w:cstheme="minorHAnsi"/>
                      <w:color w:val="000000"/>
                      <w:sz w:val="16"/>
                      <w:szCs w:val="16"/>
                    </w:rPr>
                    <w:t>-</w:t>
                  </w:r>
                  <w:r w:rsidRPr="00B06D4D">
                    <w:rPr>
                      <w:rFonts w:cstheme="minorHAnsi"/>
                      <w:color w:val="000000"/>
                      <w:sz w:val="16"/>
                      <w:szCs w:val="16"/>
                    </w:rPr>
                    <w:t xml:space="preserve"> </w:t>
                  </w:r>
                  <w:r w:rsidRPr="00B06D4D">
                    <w:rPr>
                      <w:color w:val="000000"/>
                      <w:sz w:val="16"/>
                      <w:szCs w:val="16"/>
                    </w:rPr>
                    <w:t>Certificate No. WMQC 0614</w:t>
                  </w:r>
                </w:p>
                <w:p w:rsidR="00C07723" w:rsidRPr="00B06D4D" w:rsidRDefault="00C07723" w:rsidP="00F9622A">
                  <w:pPr>
                    <w:spacing w:after="60"/>
                    <w:rPr>
                      <w:color w:val="000000"/>
                      <w:sz w:val="16"/>
                      <w:szCs w:val="16"/>
                    </w:rPr>
                  </w:pPr>
                  <w:r w:rsidRPr="00B06D4D">
                    <w:rPr>
                      <w:rFonts w:cstheme="minorHAnsi"/>
                      <w:color w:val="000000"/>
                      <w:sz w:val="16"/>
                      <w:szCs w:val="16"/>
                    </w:rPr>
                    <w:t>Interviewer Quality Control Scheme (IQCS) Member Company</w:t>
                  </w:r>
                </w:p>
                <w:p w:rsidR="00C07723" w:rsidRDefault="00C07723" w:rsidP="00F9622A">
                  <w:pPr>
                    <w:spacing w:after="60"/>
                    <w:rPr>
                      <w:color w:val="000000"/>
                      <w:sz w:val="16"/>
                      <w:szCs w:val="16"/>
                    </w:rPr>
                  </w:pPr>
                  <w:r w:rsidRPr="00B06D4D">
                    <w:rPr>
                      <w:rFonts w:cstheme="minorHAnsi"/>
                      <w:color w:val="000000"/>
                      <w:sz w:val="16"/>
                      <w:szCs w:val="16"/>
                    </w:rPr>
                    <w:t>Registered under the Data Protection Act</w:t>
                  </w:r>
                  <w:r w:rsidRPr="00B06D4D">
                    <w:rPr>
                      <w:color w:val="000000"/>
                      <w:sz w:val="16"/>
                      <w:szCs w:val="16"/>
                    </w:rPr>
                    <w:t xml:space="preserve"> </w:t>
                  </w:r>
                  <w:r>
                    <w:rPr>
                      <w:color w:val="000000"/>
                      <w:sz w:val="16"/>
                      <w:szCs w:val="16"/>
                    </w:rPr>
                    <w:t>-</w:t>
                  </w:r>
                  <w:r w:rsidRPr="00B06D4D">
                    <w:rPr>
                      <w:color w:val="000000"/>
                      <w:sz w:val="16"/>
                      <w:szCs w:val="16"/>
                    </w:rPr>
                    <w:t xml:space="preserve"> Registration No. Z5081943</w:t>
                  </w:r>
                </w:p>
                <w:p w:rsidR="00C07723" w:rsidRPr="00B06D4D" w:rsidRDefault="00C07723" w:rsidP="00F9622A">
                  <w:pPr>
                    <w:spacing w:after="60"/>
                    <w:rPr>
                      <w:color w:val="000000"/>
                      <w:sz w:val="16"/>
                      <w:szCs w:val="16"/>
                    </w:rPr>
                  </w:pPr>
                </w:p>
                <w:p w:rsidR="00C07723" w:rsidRPr="00223995" w:rsidRDefault="00C07723" w:rsidP="00F9622A">
                  <w:pPr>
                    <w:spacing w:after="60"/>
                    <w:rPr>
                      <w:sz w:val="16"/>
                      <w:szCs w:val="16"/>
                    </w:rPr>
                  </w:pPr>
                  <w:r w:rsidRPr="00B06D4D">
                    <w:rPr>
                      <w:sz w:val="16"/>
                      <w:szCs w:val="16"/>
                    </w:rPr>
                    <w:t>The BMG Research logo is a trade mark of Bostock Marketing Group Ltd</w:t>
                  </w:r>
                </w:p>
              </w:txbxContent>
            </v:textbox>
            <w10:wrap type="topAndBottom" anchorx="page" anchory="page"/>
            <w10:anchorlock/>
          </v:shape>
        </w:pict>
      </w:r>
      <w:r w:rsidR="008D67E2" w:rsidRPr="00E90754">
        <w:br w:type="page"/>
      </w:r>
    </w:p>
    <w:sdt>
      <w:sdtPr>
        <w:rPr>
          <w:rFonts w:asciiTheme="minorHAnsi" w:eastAsiaTheme="minorHAnsi" w:hAnsiTheme="minorHAnsi" w:cstheme="minorBidi"/>
          <w:b w:val="0"/>
          <w:bCs w:val="0"/>
          <w:color w:val="auto"/>
          <w:sz w:val="22"/>
          <w:szCs w:val="22"/>
        </w:rPr>
        <w:id w:val="26310738"/>
        <w:docPartObj>
          <w:docPartGallery w:val="Table of Contents"/>
          <w:docPartUnique/>
        </w:docPartObj>
      </w:sdtPr>
      <w:sdtEndPr/>
      <w:sdtContent>
        <w:p w:rsidR="001E2001" w:rsidRDefault="001E2001" w:rsidP="00223995">
          <w:pPr>
            <w:pStyle w:val="TOCHeading"/>
          </w:pPr>
          <w:r>
            <w:t>Table of Contents</w:t>
          </w:r>
        </w:p>
        <w:p w:rsidR="002D3493" w:rsidRDefault="00BE5658">
          <w:pPr>
            <w:pStyle w:val="TOC1"/>
            <w:tabs>
              <w:tab w:val="left" w:pos="440"/>
              <w:tab w:val="right" w:leader="dot" w:pos="9017"/>
            </w:tabs>
            <w:rPr>
              <w:rFonts w:eastAsiaTheme="minorEastAsia"/>
              <w:noProof/>
              <w:lang w:eastAsia="en-GB"/>
            </w:rPr>
          </w:pPr>
          <w:r>
            <w:fldChar w:fldCharType="begin"/>
          </w:r>
          <w:r w:rsidR="001E2001">
            <w:instrText xml:space="preserve"> TOC \o "1-3" \h \z \u </w:instrText>
          </w:r>
          <w:r>
            <w:fldChar w:fldCharType="separate"/>
          </w:r>
          <w:hyperlink w:anchor="_Toc394057494" w:history="1">
            <w:r w:rsidR="002D3493" w:rsidRPr="00097AF1">
              <w:rPr>
                <w:rStyle w:val="Hyperlink"/>
                <w:rFonts w:eastAsia="Times New Roman"/>
                <w:noProof/>
              </w:rPr>
              <w:t>1</w:t>
            </w:r>
            <w:r w:rsidR="002D3493">
              <w:rPr>
                <w:rFonts w:eastAsiaTheme="minorEastAsia"/>
                <w:noProof/>
                <w:lang w:eastAsia="en-GB"/>
              </w:rPr>
              <w:tab/>
            </w:r>
            <w:r w:rsidR="002D3493" w:rsidRPr="00097AF1">
              <w:rPr>
                <w:rStyle w:val="Hyperlink"/>
                <w:rFonts w:eastAsia="Times New Roman"/>
                <w:noProof/>
              </w:rPr>
              <w:t>Executive Summary</w:t>
            </w:r>
            <w:r w:rsidR="002D3493">
              <w:rPr>
                <w:noProof/>
                <w:webHidden/>
              </w:rPr>
              <w:tab/>
            </w:r>
            <w:r>
              <w:rPr>
                <w:noProof/>
                <w:webHidden/>
              </w:rPr>
              <w:fldChar w:fldCharType="begin"/>
            </w:r>
            <w:r w:rsidR="002D3493">
              <w:rPr>
                <w:noProof/>
                <w:webHidden/>
              </w:rPr>
              <w:instrText xml:space="preserve"> PAGEREF _Toc394057494 \h </w:instrText>
            </w:r>
            <w:r>
              <w:rPr>
                <w:noProof/>
                <w:webHidden/>
              </w:rPr>
            </w:r>
            <w:r>
              <w:rPr>
                <w:noProof/>
                <w:webHidden/>
              </w:rPr>
              <w:fldChar w:fldCharType="separate"/>
            </w:r>
            <w:r w:rsidR="002D3493">
              <w:rPr>
                <w:noProof/>
                <w:webHidden/>
              </w:rPr>
              <w:t>1</w:t>
            </w:r>
            <w:r>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495" w:history="1">
            <w:r w:rsidR="002D3493" w:rsidRPr="00097AF1">
              <w:rPr>
                <w:rStyle w:val="Hyperlink"/>
                <w:noProof/>
              </w:rPr>
              <w:t>1.1</w:t>
            </w:r>
            <w:r w:rsidR="002D3493">
              <w:rPr>
                <w:rFonts w:eastAsiaTheme="minorEastAsia"/>
                <w:noProof/>
                <w:lang w:eastAsia="en-GB"/>
              </w:rPr>
              <w:tab/>
            </w:r>
            <w:r w:rsidR="002D3493" w:rsidRPr="00097AF1">
              <w:rPr>
                <w:rStyle w:val="Hyperlink"/>
                <w:noProof/>
              </w:rPr>
              <w:t>Life in Greater Lincolnshire</w:t>
            </w:r>
            <w:r w:rsidR="002D3493">
              <w:rPr>
                <w:noProof/>
                <w:webHidden/>
              </w:rPr>
              <w:tab/>
            </w:r>
            <w:r w:rsidR="00BE5658">
              <w:rPr>
                <w:noProof/>
                <w:webHidden/>
              </w:rPr>
              <w:fldChar w:fldCharType="begin"/>
            </w:r>
            <w:r w:rsidR="002D3493">
              <w:rPr>
                <w:noProof/>
                <w:webHidden/>
              </w:rPr>
              <w:instrText xml:space="preserve"> PAGEREF _Toc394057495 \h </w:instrText>
            </w:r>
            <w:r w:rsidR="00BE5658">
              <w:rPr>
                <w:noProof/>
                <w:webHidden/>
              </w:rPr>
            </w:r>
            <w:r w:rsidR="00BE5658">
              <w:rPr>
                <w:noProof/>
                <w:webHidden/>
              </w:rPr>
              <w:fldChar w:fldCharType="separate"/>
            </w:r>
            <w:r w:rsidR="002D3493">
              <w:rPr>
                <w:noProof/>
                <w:webHidden/>
              </w:rPr>
              <w:t>1</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496" w:history="1">
            <w:r w:rsidR="002D3493" w:rsidRPr="00097AF1">
              <w:rPr>
                <w:rStyle w:val="Hyperlink"/>
                <w:noProof/>
              </w:rPr>
              <w:t>1.2</w:t>
            </w:r>
            <w:r w:rsidR="002D3493">
              <w:rPr>
                <w:rFonts w:eastAsiaTheme="minorEastAsia"/>
                <w:noProof/>
                <w:lang w:eastAsia="en-GB"/>
              </w:rPr>
              <w:tab/>
            </w:r>
            <w:r w:rsidR="002D3493" w:rsidRPr="00097AF1">
              <w:rPr>
                <w:rStyle w:val="Hyperlink"/>
                <w:noProof/>
              </w:rPr>
              <w:t>Markets and Trading</w:t>
            </w:r>
            <w:r w:rsidR="002D3493">
              <w:rPr>
                <w:noProof/>
                <w:webHidden/>
              </w:rPr>
              <w:tab/>
            </w:r>
            <w:r w:rsidR="00BE5658">
              <w:rPr>
                <w:noProof/>
                <w:webHidden/>
              </w:rPr>
              <w:fldChar w:fldCharType="begin"/>
            </w:r>
            <w:r w:rsidR="002D3493">
              <w:rPr>
                <w:noProof/>
                <w:webHidden/>
              </w:rPr>
              <w:instrText xml:space="preserve"> PAGEREF _Toc394057496 \h </w:instrText>
            </w:r>
            <w:r w:rsidR="00BE5658">
              <w:rPr>
                <w:noProof/>
                <w:webHidden/>
              </w:rPr>
            </w:r>
            <w:r w:rsidR="00BE5658">
              <w:rPr>
                <w:noProof/>
                <w:webHidden/>
              </w:rPr>
              <w:fldChar w:fldCharType="separate"/>
            </w:r>
            <w:r w:rsidR="002D3493">
              <w:rPr>
                <w:noProof/>
                <w:webHidden/>
              </w:rPr>
              <w:t>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497" w:history="1">
            <w:r w:rsidR="002D3493" w:rsidRPr="00097AF1">
              <w:rPr>
                <w:rStyle w:val="Hyperlink"/>
                <w:noProof/>
              </w:rPr>
              <w:t>1.3</w:t>
            </w:r>
            <w:r w:rsidR="002D3493">
              <w:rPr>
                <w:rFonts w:eastAsiaTheme="minorEastAsia"/>
                <w:noProof/>
                <w:lang w:eastAsia="en-GB"/>
              </w:rPr>
              <w:tab/>
            </w:r>
            <w:r w:rsidR="002D3493" w:rsidRPr="00097AF1">
              <w:rPr>
                <w:rStyle w:val="Hyperlink"/>
                <w:noProof/>
              </w:rPr>
              <w:t>Business Growth and Innovation</w:t>
            </w:r>
            <w:r w:rsidR="002D3493">
              <w:rPr>
                <w:noProof/>
                <w:webHidden/>
              </w:rPr>
              <w:tab/>
            </w:r>
            <w:r w:rsidR="00BE5658">
              <w:rPr>
                <w:noProof/>
                <w:webHidden/>
              </w:rPr>
              <w:fldChar w:fldCharType="begin"/>
            </w:r>
            <w:r w:rsidR="002D3493">
              <w:rPr>
                <w:noProof/>
                <w:webHidden/>
              </w:rPr>
              <w:instrText xml:space="preserve"> PAGEREF _Toc394057497 \h </w:instrText>
            </w:r>
            <w:r w:rsidR="00BE5658">
              <w:rPr>
                <w:noProof/>
                <w:webHidden/>
              </w:rPr>
            </w:r>
            <w:r w:rsidR="00BE5658">
              <w:rPr>
                <w:noProof/>
                <w:webHidden/>
              </w:rPr>
              <w:fldChar w:fldCharType="separate"/>
            </w:r>
            <w:r w:rsidR="002D3493">
              <w:rPr>
                <w:noProof/>
                <w:webHidden/>
              </w:rPr>
              <w:t>3</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498" w:history="1">
            <w:r w:rsidR="002D3493" w:rsidRPr="00097AF1">
              <w:rPr>
                <w:rStyle w:val="Hyperlink"/>
                <w:noProof/>
              </w:rPr>
              <w:t>1.4</w:t>
            </w:r>
            <w:r w:rsidR="002D3493">
              <w:rPr>
                <w:rFonts w:eastAsiaTheme="minorEastAsia"/>
                <w:noProof/>
                <w:lang w:eastAsia="en-GB"/>
              </w:rPr>
              <w:tab/>
            </w:r>
            <w:r w:rsidR="002D3493" w:rsidRPr="00097AF1">
              <w:rPr>
                <w:rStyle w:val="Hyperlink"/>
                <w:noProof/>
              </w:rPr>
              <w:t>Finance and Investment</w:t>
            </w:r>
            <w:r w:rsidR="002D3493">
              <w:rPr>
                <w:noProof/>
                <w:webHidden/>
              </w:rPr>
              <w:tab/>
            </w:r>
            <w:r w:rsidR="00BE5658">
              <w:rPr>
                <w:noProof/>
                <w:webHidden/>
              </w:rPr>
              <w:fldChar w:fldCharType="begin"/>
            </w:r>
            <w:r w:rsidR="002D3493">
              <w:rPr>
                <w:noProof/>
                <w:webHidden/>
              </w:rPr>
              <w:instrText xml:space="preserve"> PAGEREF _Toc394057498 \h </w:instrText>
            </w:r>
            <w:r w:rsidR="00BE5658">
              <w:rPr>
                <w:noProof/>
                <w:webHidden/>
              </w:rPr>
            </w:r>
            <w:r w:rsidR="00BE5658">
              <w:rPr>
                <w:noProof/>
                <w:webHidden/>
              </w:rPr>
              <w:fldChar w:fldCharType="separate"/>
            </w:r>
            <w:r w:rsidR="002D3493">
              <w:rPr>
                <w:noProof/>
                <w:webHidden/>
              </w:rPr>
              <w:t>4</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499" w:history="1">
            <w:r w:rsidR="002D3493" w:rsidRPr="00097AF1">
              <w:rPr>
                <w:rStyle w:val="Hyperlink"/>
                <w:noProof/>
              </w:rPr>
              <w:t>1.5</w:t>
            </w:r>
            <w:r w:rsidR="002D3493">
              <w:rPr>
                <w:rFonts w:eastAsiaTheme="minorEastAsia"/>
                <w:noProof/>
                <w:lang w:eastAsia="en-GB"/>
              </w:rPr>
              <w:tab/>
            </w:r>
            <w:r w:rsidR="002D3493" w:rsidRPr="00097AF1">
              <w:rPr>
                <w:rStyle w:val="Hyperlink"/>
                <w:noProof/>
              </w:rPr>
              <w:t>Recruitment and Skill Shortages</w:t>
            </w:r>
            <w:r w:rsidR="002D3493">
              <w:rPr>
                <w:noProof/>
                <w:webHidden/>
              </w:rPr>
              <w:tab/>
            </w:r>
            <w:r w:rsidR="00BE5658">
              <w:rPr>
                <w:noProof/>
                <w:webHidden/>
              </w:rPr>
              <w:fldChar w:fldCharType="begin"/>
            </w:r>
            <w:r w:rsidR="002D3493">
              <w:rPr>
                <w:noProof/>
                <w:webHidden/>
              </w:rPr>
              <w:instrText xml:space="preserve"> PAGEREF _Toc394057499 \h </w:instrText>
            </w:r>
            <w:r w:rsidR="00BE5658">
              <w:rPr>
                <w:noProof/>
                <w:webHidden/>
              </w:rPr>
            </w:r>
            <w:r w:rsidR="00BE5658">
              <w:rPr>
                <w:noProof/>
                <w:webHidden/>
              </w:rPr>
              <w:fldChar w:fldCharType="separate"/>
            </w:r>
            <w:r w:rsidR="002D3493">
              <w:rPr>
                <w:noProof/>
                <w:webHidden/>
              </w:rPr>
              <w:t>5</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00" w:history="1">
            <w:r w:rsidR="002D3493" w:rsidRPr="00097AF1">
              <w:rPr>
                <w:rStyle w:val="Hyperlink"/>
                <w:noProof/>
              </w:rPr>
              <w:t>1.6</w:t>
            </w:r>
            <w:r w:rsidR="002D3493">
              <w:rPr>
                <w:rFonts w:eastAsiaTheme="minorEastAsia"/>
                <w:noProof/>
                <w:lang w:eastAsia="en-GB"/>
              </w:rPr>
              <w:tab/>
            </w:r>
            <w:r w:rsidR="002D3493" w:rsidRPr="00097AF1">
              <w:rPr>
                <w:rStyle w:val="Hyperlink"/>
                <w:noProof/>
              </w:rPr>
              <w:t>Skill Gaps and Skill Development</w:t>
            </w:r>
            <w:r w:rsidR="002D3493">
              <w:rPr>
                <w:noProof/>
                <w:webHidden/>
              </w:rPr>
              <w:tab/>
            </w:r>
            <w:r w:rsidR="00BE5658">
              <w:rPr>
                <w:noProof/>
                <w:webHidden/>
              </w:rPr>
              <w:fldChar w:fldCharType="begin"/>
            </w:r>
            <w:r w:rsidR="002D3493">
              <w:rPr>
                <w:noProof/>
                <w:webHidden/>
              </w:rPr>
              <w:instrText xml:space="preserve"> PAGEREF _Toc394057500 \h </w:instrText>
            </w:r>
            <w:r w:rsidR="00BE5658">
              <w:rPr>
                <w:noProof/>
                <w:webHidden/>
              </w:rPr>
            </w:r>
            <w:r w:rsidR="00BE5658">
              <w:rPr>
                <w:noProof/>
                <w:webHidden/>
              </w:rPr>
              <w:fldChar w:fldCharType="separate"/>
            </w:r>
            <w:r w:rsidR="002D3493">
              <w:rPr>
                <w:noProof/>
                <w:webHidden/>
              </w:rPr>
              <w:t>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01" w:history="1">
            <w:r w:rsidR="002D3493" w:rsidRPr="00097AF1">
              <w:rPr>
                <w:rStyle w:val="Hyperlink"/>
                <w:noProof/>
              </w:rPr>
              <w:t>1.7</w:t>
            </w:r>
            <w:r w:rsidR="002D3493">
              <w:rPr>
                <w:rFonts w:eastAsiaTheme="minorEastAsia"/>
                <w:noProof/>
                <w:lang w:eastAsia="en-GB"/>
              </w:rPr>
              <w:tab/>
            </w:r>
            <w:r w:rsidR="002D3493" w:rsidRPr="00097AF1">
              <w:rPr>
                <w:rStyle w:val="Hyperlink"/>
                <w:noProof/>
              </w:rPr>
              <w:t>The Environment</w:t>
            </w:r>
            <w:r w:rsidR="002D3493">
              <w:rPr>
                <w:noProof/>
                <w:webHidden/>
              </w:rPr>
              <w:tab/>
            </w:r>
            <w:r w:rsidR="00BE5658">
              <w:rPr>
                <w:noProof/>
                <w:webHidden/>
              </w:rPr>
              <w:fldChar w:fldCharType="begin"/>
            </w:r>
            <w:r w:rsidR="002D3493">
              <w:rPr>
                <w:noProof/>
                <w:webHidden/>
              </w:rPr>
              <w:instrText xml:space="preserve"> PAGEREF _Toc394057501 \h </w:instrText>
            </w:r>
            <w:r w:rsidR="00BE5658">
              <w:rPr>
                <w:noProof/>
                <w:webHidden/>
              </w:rPr>
            </w:r>
            <w:r w:rsidR="00BE5658">
              <w:rPr>
                <w:noProof/>
                <w:webHidden/>
              </w:rPr>
              <w:fldChar w:fldCharType="separate"/>
            </w:r>
            <w:r w:rsidR="002D3493">
              <w:rPr>
                <w:noProof/>
                <w:webHidden/>
              </w:rPr>
              <w:t>7</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02" w:history="1">
            <w:r w:rsidR="002D3493" w:rsidRPr="00097AF1">
              <w:rPr>
                <w:rStyle w:val="Hyperlink"/>
                <w:noProof/>
              </w:rPr>
              <w:t>1.8</w:t>
            </w:r>
            <w:r w:rsidR="002D3493">
              <w:rPr>
                <w:rFonts w:eastAsiaTheme="minorEastAsia"/>
                <w:noProof/>
                <w:lang w:eastAsia="en-GB"/>
              </w:rPr>
              <w:tab/>
            </w:r>
            <w:r w:rsidR="002D3493" w:rsidRPr="00097AF1">
              <w:rPr>
                <w:rStyle w:val="Hyperlink"/>
                <w:noProof/>
              </w:rPr>
              <w:t>Conclusions</w:t>
            </w:r>
            <w:r w:rsidR="002D3493">
              <w:rPr>
                <w:noProof/>
                <w:webHidden/>
              </w:rPr>
              <w:tab/>
            </w:r>
            <w:r w:rsidR="00BE5658">
              <w:rPr>
                <w:noProof/>
                <w:webHidden/>
              </w:rPr>
              <w:fldChar w:fldCharType="begin"/>
            </w:r>
            <w:r w:rsidR="002D3493">
              <w:rPr>
                <w:noProof/>
                <w:webHidden/>
              </w:rPr>
              <w:instrText xml:space="preserve"> PAGEREF _Toc394057502 \h </w:instrText>
            </w:r>
            <w:r w:rsidR="00BE5658">
              <w:rPr>
                <w:noProof/>
                <w:webHidden/>
              </w:rPr>
            </w:r>
            <w:r w:rsidR="00BE5658">
              <w:rPr>
                <w:noProof/>
                <w:webHidden/>
              </w:rPr>
              <w:fldChar w:fldCharType="separate"/>
            </w:r>
            <w:r w:rsidR="002D3493">
              <w:rPr>
                <w:noProof/>
                <w:webHidden/>
              </w:rPr>
              <w:t>8</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03" w:history="1">
            <w:r w:rsidR="002D3493" w:rsidRPr="00097AF1">
              <w:rPr>
                <w:rStyle w:val="Hyperlink"/>
                <w:noProof/>
              </w:rPr>
              <w:t>2</w:t>
            </w:r>
            <w:r w:rsidR="002D3493">
              <w:rPr>
                <w:rFonts w:eastAsiaTheme="minorEastAsia"/>
                <w:noProof/>
                <w:lang w:eastAsia="en-GB"/>
              </w:rPr>
              <w:tab/>
            </w:r>
            <w:r w:rsidR="002D3493" w:rsidRPr="00097AF1">
              <w:rPr>
                <w:rStyle w:val="Hyperlink"/>
                <w:noProof/>
              </w:rPr>
              <w:t>Background</w:t>
            </w:r>
            <w:r w:rsidR="002D3493">
              <w:rPr>
                <w:noProof/>
                <w:webHidden/>
              </w:rPr>
              <w:tab/>
            </w:r>
            <w:r w:rsidR="00BE5658">
              <w:rPr>
                <w:noProof/>
                <w:webHidden/>
              </w:rPr>
              <w:fldChar w:fldCharType="begin"/>
            </w:r>
            <w:r w:rsidR="002D3493">
              <w:rPr>
                <w:noProof/>
                <w:webHidden/>
              </w:rPr>
              <w:instrText xml:space="preserve"> PAGEREF _Toc394057503 \h </w:instrText>
            </w:r>
            <w:r w:rsidR="00BE5658">
              <w:rPr>
                <w:noProof/>
                <w:webHidden/>
              </w:rPr>
            </w:r>
            <w:r w:rsidR="00BE5658">
              <w:rPr>
                <w:noProof/>
                <w:webHidden/>
              </w:rPr>
              <w:fldChar w:fldCharType="separate"/>
            </w:r>
            <w:r w:rsidR="002D3493">
              <w:rPr>
                <w:noProof/>
                <w:webHidden/>
              </w:rPr>
              <w:t>10</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04" w:history="1">
            <w:r w:rsidR="002D3493" w:rsidRPr="00097AF1">
              <w:rPr>
                <w:rStyle w:val="Hyperlink"/>
                <w:noProof/>
              </w:rPr>
              <w:t>2.1</w:t>
            </w:r>
            <w:r w:rsidR="002D3493">
              <w:rPr>
                <w:rFonts w:eastAsiaTheme="minorEastAsia"/>
                <w:noProof/>
                <w:lang w:eastAsia="en-GB"/>
              </w:rPr>
              <w:tab/>
            </w:r>
            <w:r w:rsidR="002D3493" w:rsidRPr="00097AF1">
              <w:rPr>
                <w:rStyle w:val="Hyperlink"/>
                <w:noProof/>
              </w:rPr>
              <w:t>Method</w:t>
            </w:r>
            <w:r w:rsidR="002D3493">
              <w:rPr>
                <w:noProof/>
                <w:webHidden/>
              </w:rPr>
              <w:tab/>
            </w:r>
            <w:r w:rsidR="00BE5658">
              <w:rPr>
                <w:noProof/>
                <w:webHidden/>
              </w:rPr>
              <w:fldChar w:fldCharType="begin"/>
            </w:r>
            <w:r w:rsidR="002D3493">
              <w:rPr>
                <w:noProof/>
                <w:webHidden/>
              </w:rPr>
              <w:instrText xml:space="preserve"> PAGEREF _Toc394057504 \h </w:instrText>
            </w:r>
            <w:r w:rsidR="00BE5658">
              <w:rPr>
                <w:noProof/>
                <w:webHidden/>
              </w:rPr>
            </w:r>
            <w:r w:rsidR="00BE5658">
              <w:rPr>
                <w:noProof/>
                <w:webHidden/>
              </w:rPr>
              <w:fldChar w:fldCharType="separate"/>
            </w:r>
            <w:r w:rsidR="002D3493">
              <w:rPr>
                <w:noProof/>
                <w:webHidden/>
              </w:rPr>
              <w:t>10</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05" w:history="1">
            <w:r w:rsidR="002D3493" w:rsidRPr="00097AF1">
              <w:rPr>
                <w:rStyle w:val="Hyperlink"/>
                <w:noProof/>
              </w:rPr>
              <w:t>2.1.1</w:t>
            </w:r>
            <w:r w:rsidR="002D3493">
              <w:rPr>
                <w:rFonts w:eastAsiaTheme="minorEastAsia"/>
                <w:noProof/>
                <w:lang w:eastAsia="en-GB"/>
              </w:rPr>
              <w:tab/>
            </w:r>
            <w:r w:rsidR="002D3493" w:rsidRPr="00097AF1">
              <w:rPr>
                <w:rStyle w:val="Hyperlink"/>
                <w:noProof/>
              </w:rPr>
              <w:t>Note on reporting</w:t>
            </w:r>
            <w:r w:rsidR="002D3493">
              <w:rPr>
                <w:noProof/>
                <w:webHidden/>
              </w:rPr>
              <w:tab/>
            </w:r>
            <w:r w:rsidR="00BE5658">
              <w:rPr>
                <w:noProof/>
                <w:webHidden/>
              </w:rPr>
              <w:fldChar w:fldCharType="begin"/>
            </w:r>
            <w:r w:rsidR="002D3493">
              <w:rPr>
                <w:noProof/>
                <w:webHidden/>
              </w:rPr>
              <w:instrText xml:space="preserve"> PAGEREF _Toc394057505 \h </w:instrText>
            </w:r>
            <w:r w:rsidR="00BE5658">
              <w:rPr>
                <w:noProof/>
                <w:webHidden/>
              </w:rPr>
            </w:r>
            <w:r w:rsidR="00BE5658">
              <w:rPr>
                <w:noProof/>
                <w:webHidden/>
              </w:rPr>
              <w:fldChar w:fldCharType="separate"/>
            </w:r>
            <w:r w:rsidR="002D3493">
              <w:rPr>
                <w:noProof/>
                <w:webHidden/>
              </w:rPr>
              <w:t>11</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06" w:history="1">
            <w:r w:rsidR="002D3493" w:rsidRPr="00097AF1">
              <w:rPr>
                <w:rStyle w:val="Hyperlink"/>
                <w:noProof/>
              </w:rPr>
              <w:t>3</w:t>
            </w:r>
            <w:r w:rsidR="002D3493">
              <w:rPr>
                <w:rFonts w:eastAsiaTheme="minorEastAsia"/>
                <w:noProof/>
                <w:lang w:eastAsia="en-GB"/>
              </w:rPr>
              <w:tab/>
            </w:r>
            <w:r w:rsidR="002D3493" w:rsidRPr="00097AF1">
              <w:rPr>
                <w:rStyle w:val="Hyperlink"/>
                <w:noProof/>
              </w:rPr>
              <w:t>Life in Greater Lincolnshire</w:t>
            </w:r>
            <w:r w:rsidR="002D3493">
              <w:rPr>
                <w:noProof/>
                <w:webHidden/>
              </w:rPr>
              <w:tab/>
            </w:r>
            <w:r w:rsidR="00BE5658">
              <w:rPr>
                <w:noProof/>
                <w:webHidden/>
              </w:rPr>
              <w:fldChar w:fldCharType="begin"/>
            </w:r>
            <w:r w:rsidR="002D3493">
              <w:rPr>
                <w:noProof/>
                <w:webHidden/>
              </w:rPr>
              <w:instrText xml:space="preserve"> PAGEREF _Toc394057506 \h </w:instrText>
            </w:r>
            <w:r w:rsidR="00BE5658">
              <w:rPr>
                <w:noProof/>
                <w:webHidden/>
              </w:rPr>
            </w:r>
            <w:r w:rsidR="00BE5658">
              <w:rPr>
                <w:noProof/>
                <w:webHidden/>
              </w:rPr>
              <w:fldChar w:fldCharType="separate"/>
            </w:r>
            <w:r w:rsidR="002D3493">
              <w:rPr>
                <w:noProof/>
                <w:webHidden/>
              </w:rPr>
              <w:t>12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07" w:history="1">
            <w:r w:rsidR="002D3493" w:rsidRPr="00097AF1">
              <w:rPr>
                <w:rStyle w:val="Hyperlink"/>
                <w:noProof/>
              </w:rPr>
              <w:t>3.1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_Toc394057507 \h </w:instrText>
            </w:r>
            <w:r w:rsidR="00BE5658">
              <w:rPr>
                <w:noProof/>
                <w:webHidden/>
              </w:rPr>
            </w:r>
            <w:r w:rsidR="00BE5658">
              <w:rPr>
                <w:noProof/>
                <w:webHidden/>
              </w:rPr>
              <w:fldChar w:fldCharType="separate"/>
            </w:r>
            <w:r w:rsidR="002D3493">
              <w:rPr>
                <w:noProof/>
                <w:webHidden/>
              </w:rPr>
              <w:t>12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08" w:history="1">
            <w:r w:rsidR="002D3493" w:rsidRPr="00097AF1">
              <w:rPr>
                <w:rStyle w:val="Hyperlink"/>
                <w:noProof/>
              </w:rPr>
              <w:t>3.2</w:t>
            </w:r>
            <w:r w:rsidR="002D3493">
              <w:rPr>
                <w:rFonts w:eastAsiaTheme="minorEastAsia"/>
                <w:noProof/>
                <w:lang w:eastAsia="en-GB"/>
              </w:rPr>
              <w:tab/>
            </w:r>
            <w:r w:rsidR="002D3493" w:rsidRPr="00097AF1">
              <w:rPr>
                <w:rStyle w:val="Hyperlink"/>
                <w:noProof/>
              </w:rPr>
              <w:t>Location in Greater Lincolnshire</w:t>
            </w:r>
            <w:r w:rsidR="002D3493">
              <w:rPr>
                <w:noProof/>
                <w:webHidden/>
              </w:rPr>
              <w:tab/>
            </w:r>
            <w:r w:rsidR="00BE5658">
              <w:rPr>
                <w:noProof/>
                <w:webHidden/>
              </w:rPr>
              <w:fldChar w:fldCharType="begin"/>
            </w:r>
            <w:r w:rsidR="002D3493">
              <w:rPr>
                <w:noProof/>
                <w:webHidden/>
              </w:rPr>
              <w:instrText xml:space="preserve"> PAGEREF _Toc394057508 \h </w:instrText>
            </w:r>
            <w:r w:rsidR="00BE5658">
              <w:rPr>
                <w:noProof/>
                <w:webHidden/>
              </w:rPr>
            </w:r>
            <w:r w:rsidR="00BE5658">
              <w:rPr>
                <w:noProof/>
                <w:webHidden/>
              </w:rPr>
              <w:fldChar w:fldCharType="separate"/>
            </w:r>
            <w:r w:rsidR="002D3493">
              <w:rPr>
                <w:noProof/>
                <w:webHidden/>
              </w:rPr>
              <w:t>12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09" w:history="1">
            <w:r w:rsidR="002D3493" w:rsidRPr="00097AF1">
              <w:rPr>
                <w:rStyle w:val="Hyperlink"/>
                <w:noProof/>
              </w:rPr>
              <w:t>3.2.1</w:t>
            </w:r>
            <w:r w:rsidR="002D3493">
              <w:rPr>
                <w:rFonts w:eastAsiaTheme="minorEastAsia"/>
                <w:noProof/>
                <w:lang w:eastAsia="en-GB"/>
              </w:rPr>
              <w:tab/>
            </w:r>
            <w:r w:rsidR="002D3493" w:rsidRPr="00097AF1">
              <w:rPr>
                <w:rStyle w:val="Hyperlink"/>
                <w:noProof/>
              </w:rPr>
              <w:t>Reasons for relocating to Greater Lincolnshire</w:t>
            </w:r>
            <w:r w:rsidR="002D3493">
              <w:rPr>
                <w:noProof/>
                <w:webHidden/>
              </w:rPr>
              <w:tab/>
            </w:r>
            <w:r w:rsidR="00BE5658">
              <w:rPr>
                <w:noProof/>
                <w:webHidden/>
              </w:rPr>
              <w:fldChar w:fldCharType="begin"/>
            </w:r>
            <w:r w:rsidR="002D3493">
              <w:rPr>
                <w:noProof/>
                <w:webHidden/>
              </w:rPr>
              <w:instrText xml:space="preserve"> PAGEREF _Toc394057509 \h </w:instrText>
            </w:r>
            <w:r w:rsidR="00BE5658">
              <w:rPr>
                <w:noProof/>
                <w:webHidden/>
              </w:rPr>
            </w:r>
            <w:r w:rsidR="00BE5658">
              <w:rPr>
                <w:noProof/>
                <w:webHidden/>
              </w:rPr>
              <w:fldChar w:fldCharType="separate"/>
            </w:r>
            <w:r w:rsidR="002D3493">
              <w:rPr>
                <w:noProof/>
                <w:webHidden/>
              </w:rPr>
              <w:t>14</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10" w:history="1">
            <w:r w:rsidR="002D3493" w:rsidRPr="00097AF1">
              <w:rPr>
                <w:rStyle w:val="Hyperlink"/>
                <w:noProof/>
              </w:rPr>
              <w:t>3.2.2</w:t>
            </w:r>
            <w:r w:rsidR="002D3493">
              <w:rPr>
                <w:rFonts w:eastAsiaTheme="minorEastAsia"/>
                <w:noProof/>
                <w:lang w:eastAsia="en-GB"/>
              </w:rPr>
              <w:tab/>
            </w:r>
            <w:r w:rsidR="002D3493" w:rsidRPr="00097AF1">
              <w:rPr>
                <w:rStyle w:val="Hyperlink"/>
                <w:noProof/>
              </w:rPr>
              <w:t>Possible relocation</w:t>
            </w:r>
            <w:r w:rsidR="002D3493">
              <w:rPr>
                <w:noProof/>
                <w:webHidden/>
              </w:rPr>
              <w:tab/>
            </w:r>
            <w:r w:rsidR="00BE5658">
              <w:rPr>
                <w:noProof/>
                <w:webHidden/>
              </w:rPr>
              <w:fldChar w:fldCharType="begin"/>
            </w:r>
            <w:r w:rsidR="002D3493">
              <w:rPr>
                <w:noProof/>
                <w:webHidden/>
              </w:rPr>
              <w:instrText xml:space="preserve"> PAGEREF _Toc394057510 \h </w:instrText>
            </w:r>
            <w:r w:rsidR="00BE5658">
              <w:rPr>
                <w:noProof/>
                <w:webHidden/>
              </w:rPr>
            </w:r>
            <w:r w:rsidR="00BE5658">
              <w:rPr>
                <w:noProof/>
                <w:webHidden/>
              </w:rPr>
              <w:fldChar w:fldCharType="separate"/>
            </w:r>
            <w:r w:rsidR="002D3493">
              <w:rPr>
                <w:noProof/>
                <w:webHidden/>
              </w:rPr>
              <w:t>15</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11" w:history="1">
            <w:r w:rsidR="002D3493" w:rsidRPr="00097AF1">
              <w:rPr>
                <w:rStyle w:val="Hyperlink"/>
                <w:noProof/>
              </w:rPr>
              <w:t>3.3</w:t>
            </w:r>
            <w:r w:rsidR="002D3493">
              <w:rPr>
                <w:rFonts w:eastAsiaTheme="minorEastAsia"/>
                <w:noProof/>
                <w:lang w:eastAsia="en-GB"/>
              </w:rPr>
              <w:tab/>
            </w:r>
            <w:r w:rsidR="002D3493" w:rsidRPr="00097AF1">
              <w:rPr>
                <w:rStyle w:val="Hyperlink"/>
                <w:noProof/>
              </w:rPr>
              <w:t>Perceptions of Greater Lincolnshire as a place to do business</w:t>
            </w:r>
            <w:r w:rsidR="002D3493">
              <w:rPr>
                <w:noProof/>
                <w:webHidden/>
              </w:rPr>
              <w:tab/>
            </w:r>
            <w:r w:rsidR="00BE5658">
              <w:rPr>
                <w:noProof/>
                <w:webHidden/>
              </w:rPr>
              <w:fldChar w:fldCharType="begin"/>
            </w:r>
            <w:r w:rsidR="002D3493">
              <w:rPr>
                <w:noProof/>
                <w:webHidden/>
              </w:rPr>
              <w:instrText xml:space="preserve"> PAGEREF _Toc394057511 \h </w:instrText>
            </w:r>
            <w:r w:rsidR="00BE5658">
              <w:rPr>
                <w:noProof/>
                <w:webHidden/>
              </w:rPr>
            </w:r>
            <w:r w:rsidR="00BE5658">
              <w:rPr>
                <w:noProof/>
                <w:webHidden/>
              </w:rPr>
              <w:fldChar w:fldCharType="separate"/>
            </w:r>
            <w:r w:rsidR="002D3493">
              <w:rPr>
                <w:noProof/>
                <w:webHidden/>
              </w:rPr>
              <w:t>17</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12" w:history="1">
            <w:r w:rsidR="002D3493" w:rsidRPr="00097AF1">
              <w:rPr>
                <w:rStyle w:val="Hyperlink"/>
                <w:noProof/>
              </w:rPr>
              <w:t>3.4</w:t>
            </w:r>
            <w:r w:rsidR="002D3493">
              <w:rPr>
                <w:rFonts w:eastAsiaTheme="minorEastAsia"/>
                <w:noProof/>
                <w:lang w:eastAsia="en-GB"/>
              </w:rPr>
              <w:tab/>
            </w:r>
            <w:r w:rsidR="002D3493" w:rsidRPr="00097AF1">
              <w:rPr>
                <w:rStyle w:val="Hyperlink"/>
                <w:noProof/>
              </w:rPr>
              <w:t>Home working policies</w:t>
            </w:r>
            <w:r w:rsidR="002D3493">
              <w:rPr>
                <w:noProof/>
                <w:webHidden/>
              </w:rPr>
              <w:tab/>
            </w:r>
            <w:r w:rsidR="00BE5658">
              <w:rPr>
                <w:noProof/>
                <w:webHidden/>
              </w:rPr>
              <w:fldChar w:fldCharType="begin"/>
            </w:r>
            <w:r w:rsidR="002D3493">
              <w:rPr>
                <w:noProof/>
                <w:webHidden/>
              </w:rPr>
              <w:instrText xml:space="preserve"> PAGEREF _Toc394057512 \h </w:instrText>
            </w:r>
            <w:r w:rsidR="00BE5658">
              <w:rPr>
                <w:noProof/>
                <w:webHidden/>
              </w:rPr>
            </w:r>
            <w:r w:rsidR="00BE5658">
              <w:rPr>
                <w:noProof/>
                <w:webHidden/>
              </w:rPr>
              <w:fldChar w:fldCharType="separate"/>
            </w:r>
            <w:r w:rsidR="002D3493">
              <w:rPr>
                <w:noProof/>
                <w:webHidden/>
              </w:rPr>
              <w:t>21</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13" w:history="1">
            <w:r w:rsidR="002D3493" w:rsidRPr="00097AF1">
              <w:rPr>
                <w:rStyle w:val="Hyperlink"/>
                <w:noProof/>
              </w:rPr>
              <w:t>4</w:t>
            </w:r>
            <w:r w:rsidR="002D3493">
              <w:rPr>
                <w:rFonts w:eastAsiaTheme="minorEastAsia"/>
                <w:noProof/>
                <w:lang w:eastAsia="en-GB"/>
              </w:rPr>
              <w:tab/>
            </w:r>
            <w:r w:rsidR="002D3493" w:rsidRPr="00097AF1">
              <w:rPr>
                <w:rStyle w:val="Hyperlink"/>
                <w:noProof/>
              </w:rPr>
              <w:t>Markets and Trading</w:t>
            </w:r>
            <w:r w:rsidR="002D3493">
              <w:rPr>
                <w:noProof/>
                <w:webHidden/>
              </w:rPr>
              <w:tab/>
            </w:r>
            <w:r w:rsidR="00BE5658">
              <w:rPr>
                <w:noProof/>
                <w:webHidden/>
              </w:rPr>
              <w:fldChar w:fldCharType="begin"/>
            </w:r>
            <w:r w:rsidR="002D3493">
              <w:rPr>
                <w:noProof/>
                <w:webHidden/>
              </w:rPr>
              <w:instrText xml:space="preserve"> PAGEREF _Toc394057513 \h </w:instrText>
            </w:r>
            <w:r w:rsidR="00BE5658">
              <w:rPr>
                <w:noProof/>
                <w:webHidden/>
              </w:rPr>
            </w:r>
            <w:r w:rsidR="00BE5658">
              <w:rPr>
                <w:noProof/>
                <w:webHidden/>
              </w:rPr>
              <w:fldChar w:fldCharType="separate"/>
            </w:r>
            <w:r w:rsidR="002D3493">
              <w:rPr>
                <w:noProof/>
                <w:webHidden/>
              </w:rPr>
              <w:t>22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14" w:history="1">
            <w:r w:rsidR="002D3493" w:rsidRPr="00097AF1">
              <w:rPr>
                <w:rStyle w:val="Hyperlink"/>
                <w:noProof/>
              </w:rPr>
              <w:t>4.1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_Toc394057514 \h </w:instrText>
            </w:r>
            <w:r w:rsidR="00BE5658">
              <w:rPr>
                <w:noProof/>
                <w:webHidden/>
              </w:rPr>
            </w:r>
            <w:r w:rsidR="00BE5658">
              <w:rPr>
                <w:noProof/>
                <w:webHidden/>
              </w:rPr>
              <w:fldChar w:fldCharType="separate"/>
            </w:r>
            <w:r w:rsidR="002D3493">
              <w:rPr>
                <w:noProof/>
                <w:webHidden/>
              </w:rPr>
              <w:t>22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15" w:history="1">
            <w:r w:rsidR="002D3493" w:rsidRPr="00097AF1">
              <w:rPr>
                <w:rStyle w:val="Hyperlink"/>
                <w:noProof/>
              </w:rPr>
              <w:t>4.2</w:t>
            </w:r>
            <w:r w:rsidR="002D3493">
              <w:rPr>
                <w:rFonts w:eastAsiaTheme="minorEastAsia"/>
                <w:noProof/>
                <w:lang w:eastAsia="en-GB"/>
              </w:rPr>
              <w:tab/>
            </w:r>
            <w:r w:rsidR="002D3493" w:rsidRPr="00097AF1">
              <w:rPr>
                <w:rStyle w:val="Hyperlink"/>
                <w:noProof/>
              </w:rPr>
              <w:t>Use of local suppliers</w:t>
            </w:r>
            <w:r w:rsidR="002D3493">
              <w:rPr>
                <w:noProof/>
                <w:webHidden/>
              </w:rPr>
              <w:tab/>
            </w:r>
            <w:r w:rsidR="00BE5658">
              <w:rPr>
                <w:noProof/>
                <w:webHidden/>
              </w:rPr>
              <w:fldChar w:fldCharType="begin"/>
            </w:r>
            <w:r w:rsidR="002D3493">
              <w:rPr>
                <w:noProof/>
                <w:webHidden/>
              </w:rPr>
              <w:instrText xml:space="preserve"> PAGEREF _Toc394057515 \h </w:instrText>
            </w:r>
            <w:r w:rsidR="00BE5658">
              <w:rPr>
                <w:noProof/>
                <w:webHidden/>
              </w:rPr>
            </w:r>
            <w:r w:rsidR="00BE5658">
              <w:rPr>
                <w:noProof/>
                <w:webHidden/>
              </w:rPr>
              <w:fldChar w:fldCharType="separate"/>
            </w:r>
            <w:r w:rsidR="002D3493">
              <w:rPr>
                <w:noProof/>
                <w:webHidden/>
              </w:rPr>
              <w:t>22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16" w:history="1">
            <w:r w:rsidR="002D3493" w:rsidRPr="00097AF1">
              <w:rPr>
                <w:rStyle w:val="Hyperlink"/>
                <w:noProof/>
              </w:rPr>
              <w:t>4.3</w:t>
            </w:r>
            <w:r w:rsidR="002D3493">
              <w:rPr>
                <w:rFonts w:eastAsiaTheme="minorEastAsia"/>
                <w:noProof/>
                <w:lang w:eastAsia="en-GB"/>
              </w:rPr>
              <w:tab/>
            </w:r>
            <w:r w:rsidR="002D3493" w:rsidRPr="00097AF1">
              <w:rPr>
                <w:rStyle w:val="Hyperlink"/>
                <w:noProof/>
              </w:rPr>
              <w:t>Exporting</w:t>
            </w:r>
            <w:r w:rsidR="002D3493">
              <w:rPr>
                <w:noProof/>
                <w:webHidden/>
              </w:rPr>
              <w:tab/>
            </w:r>
            <w:r w:rsidR="00BE5658">
              <w:rPr>
                <w:noProof/>
                <w:webHidden/>
              </w:rPr>
              <w:fldChar w:fldCharType="begin"/>
            </w:r>
            <w:r w:rsidR="002D3493">
              <w:rPr>
                <w:noProof/>
                <w:webHidden/>
              </w:rPr>
              <w:instrText xml:space="preserve"> PAGEREF _Toc394057516 \h </w:instrText>
            </w:r>
            <w:r w:rsidR="00BE5658">
              <w:rPr>
                <w:noProof/>
                <w:webHidden/>
              </w:rPr>
            </w:r>
            <w:r w:rsidR="00BE5658">
              <w:rPr>
                <w:noProof/>
                <w:webHidden/>
              </w:rPr>
              <w:fldChar w:fldCharType="separate"/>
            </w:r>
            <w:r w:rsidR="002D3493">
              <w:rPr>
                <w:noProof/>
                <w:webHidden/>
              </w:rPr>
              <w:t>24</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17" w:history="1">
            <w:r w:rsidR="002D3493" w:rsidRPr="00097AF1">
              <w:rPr>
                <w:rStyle w:val="Hyperlink"/>
                <w:noProof/>
              </w:rPr>
              <w:t>4.3.1</w:t>
            </w:r>
            <w:r w:rsidR="002D3493">
              <w:rPr>
                <w:rFonts w:eastAsiaTheme="minorEastAsia"/>
                <w:noProof/>
                <w:lang w:eastAsia="en-GB"/>
              </w:rPr>
              <w:tab/>
            </w:r>
            <w:r w:rsidR="002D3493" w:rsidRPr="00097AF1">
              <w:rPr>
                <w:rStyle w:val="Hyperlink"/>
                <w:noProof/>
              </w:rPr>
              <w:t>Plans to export</w:t>
            </w:r>
            <w:r w:rsidR="002D3493">
              <w:rPr>
                <w:noProof/>
                <w:webHidden/>
              </w:rPr>
              <w:tab/>
            </w:r>
            <w:r w:rsidR="00BE5658">
              <w:rPr>
                <w:noProof/>
                <w:webHidden/>
              </w:rPr>
              <w:fldChar w:fldCharType="begin"/>
            </w:r>
            <w:r w:rsidR="002D3493">
              <w:rPr>
                <w:noProof/>
                <w:webHidden/>
              </w:rPr>
              <w:instrText xml:space="preserve"> PAGEREF _Toc394057517 \h </w:instrText>
            </w:r>
            <w:r w:rsidR="00BE5658">
              <w:rPr>
                <w:noProof/>
                <w:webHidden/>
              </w:rPr>
            </w:r>
            <w:r w:rsidR="00BE5658">
              <w:rPr>
                <w:noProof/>
                <w:webHidden/>
              </w:rPr>
              <w:fldChar w:fldCharType="separate"/>
            </w:r>
            <w:r w:rsidR="002D3493">
              <w:rPr>
                <w:noProof/>
                <w:webHidden/>
              </w:rPr>
              <w:t>25</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18" w:history="1">
            <w:r w:rsidR="002D3493" w:rsidRPr="00097AF1">
              <w:rPr>
                <w:rStyle w:val="Hyperlink"/>
                <w:noProof/>
              </w:rPr>
              <w:t>4.4</w:t>
            </w:r>
            <w:r w:rsidR="002D3493">
              <w:rPr>
                <w:rFonts w:eastAsiaTheme="minorEastAsia"/>
                <w:noProof/>
                <w:lang w:eastAsia="en-GB"/>
              </w:rPr>
              <w:tab/>
            </w:r>
            <w:r w:rsidR="002D3493" w:rsidRPr="00097AF1">
              <w:rPr>
                <w:rStyle w:val="Hyperlink"/>
                <w:noProof/>
              </w:rPr>
              <w:t>The internet as a marketing tool</w:t>
            </w:r>
            <w:r w:rsidR="002D3493">
              <w:rPr>
                <w:noProof/>
                <w:webHidden/>
              </w:rPr>
              <w:tab/>
            </w:r>
            <w:r w:rsidR="00BE5658">
              <w:rPr>
                <w:noProof/>
                <w:webHidden/>
              </w:rPr>
              <w:fldChar w:fldCharType="begin"/>
            </w:r>
            <w:r w:rsidR="002D3493">
              <w:rPr>
                <w:noProof/>
                <w:webHidden/>
              </w:rPr>
              <w:instrText xml:space="preserve"> PAGEREF _Toc394057518 \h </w:instrText>
            </w:r>
            <w:r w:rsidR="00BE5658">
              <w:rPr>
                <w:noProof/>
                <w:webHidden/>
              </w:rPr>
            </w:r>
            <w:r w:rsidR="00BE5658">
              <w:rPr>
                <w:noProof/>
                <w:webHidden/>
              </w:rPr>
              <w:fldChar w:fldCharType="separate"/>
            </w:r>
            <w:r w:rsidR="002D3493">
              <w:rPr>
                <w:noProof/>
                <w:webHidden/>
              </w:rPr>
              <w:t>25</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19" w:history="1">
            <w:r w:rsidR="002D3493" w:rsidRPr="00097AF1">
              <w:rPr>
                <w:rStyle w:val="Hyperlink"/>
                <w:noProof/>
              </w:rPr>
              <w:t>4.4.1</w:t>
            </w:r>
            <w:r w:rsidR="002D3493">
              <w:rPr>
                <w:rFonts w:eastAsiaTheme="minorEastAsia"/>
                <w:noProof/>
                <w:lang w:eastAsia="en-GB"/>
              </w:rPr>
              <w:tab/>
            </w:r>
            <w:r w:rsidR="002D3493" w:rsidRPr="00097AF1">
              <w:rPr>
                <w:rStyle w:val="Hyperlink"/>
                <w:noProof/>
              </w:rPr>
              <w:t>Websites</w:t>
            </w:r>
            <w:r w:rsidR="002D3493">
              <w:rPr>
                <w:noProof/>
                <w:webHidden/>
              </w:rPr>
              <w:tab/>
            </w:r>
            <w:r w:rsidR="00BE5658">
              <w:rPr>
                <w:noProof/>
                <w:webHidden/>
              </w:rPr>
              <w:fldChar w:fldCharType="begin"/>
            </w:r>
            <w:r w:rsidR="002D3493">
              <w:rPr>
                <w:noProof/>
                <w:webHidden/>
              </w:rPr>
              <w:instrText xml:space="preserve"> PAGEREF _Toc394057519 \h </w:instrText>
            </w:r>
            <w:r w:rsidR="00BE5658">
              <w:rPr>
                <w:noProof/>
                <w:webHidden/>
              </w:rPr>
            </w:r>
            <w:r w:rsidR="00BE5658">
              <w:rPr>
                <w:noProof/>
                <w:webHidden/>
              </w:rPr>
              <w:fldChar w:fldCharType="separate"/>
            </w:r>
            <w:r w:rsidR="002D3493">
              <w:rPr>
                <w:noProof/>
                <w:webHidden/>
              </w:rPr>
              <w:t>25</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20" w:history="1">
            <w:r w:rsidR="002D3493" w:rsidRPr="00097AF1">
              <w:rPr>
                <w:rStyle w:val="Hyperlink"/>
                <w:noProof/>
              </w:rPr>
              <w:t>4.4.2</w:t>
            </w:r>
            <w:r w:rsidR="002D3493">
              <w:rPr>
                <w:rFonts w:eastAsiaTheme="minorEastAsia"/>
                <w:noProof/>
                <w:lang w:eastAsia="en-GB"/>
              </w:rPr>
              <w:tab/>
            </w:r>
            <w:r w:rsidR="002D3493" w:rsidRPr="00097AF1">
              <w:rPr>
                <w:rStyle w:val="Hyperlink"/>
                <w:noProof/>
              </w:rPr>
              <w:t>Social media</w:t>
            </w:r>
            <w:r w:rsidR="002D3493">
              <w:rPr>
                <w:noProof/>
                <w:webHidden/>
              </w:rPr>
              <w:tab/>
            </w:r>
            <w:r w:rsidR="00BE5658">
              <w:rPr>
                <w:noProof/>
                <w:webHidden/>
              </w:rPr>
              <w:fldChar w:fldCharType="begin"/>
            </w:r>
            <w:r w:rsidR="002D3493">
              <w:rPr>
                <w:noProof/>
                <w:webHidden/>
              </w:rPr>
              <w:instrText xml:space="preserve"> PAGEREF _Toc394057520 \h </w:instrText>
            </w:r>
            <w:r w:rsidR="00BE5658">
              <w:rPr>
                <w:noProof/>
                <w:webHidden/>
              </w:rPr>
            </w:r>
            <w:r w:rsidR="00BE5658">
              <w:rPr>
                <w:noProof/>
                <w:webHidden/>
              </w:rPr>
              <w:fldChar w:fldCharType="separate"/>
            </w:r>
            <w:r w:rsidR="002D3493">
              <w:rPr>
                <w:noProof/>
                <w:webHidden/>
              </w:rPr>
              <w:t>27</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21" w:history="1">
            <w:r w:rsidR="002D3493" w:rsidRPr="00097AF1">
              <w:rPr>
                <w:rStyle w:val="Hyperlink"/>
                <w:noProof/>
              </w:rPr>
              <w:t>4.4.3</w:t>
            </w:r>
            <w:r w:rsidR="002D3493">
              <w:rPr>
                <w:rFonts w:eastAsiaTheme="minorEastAsia"/>
                <w:noProof/>
                <w:lang w:eastAsia="en-GB"/>
              </w:rPr>
              <w:tab/>
            </w:r>
            <w:r w:rsidR="002D3493" w:rsidRPr="00097AF1">
              <w:rPr>
                <w:rStyle w:val="Hyperlink"/>
                <w:noProof/>
              </w:rPr>
              <w:t>Issues regarding access to broadband</w:t>
            </w:r>
            <w:r w:rsidR="002D3493">
              <w:rPr>
                <w:noProof/>
                <w:webHidden/>
              </w:rPr>
              <w:tab/>
            </w:r>
            <w:r w:rsidR="00BE5658">
              <w:rPr>
                <w:noProof/>
                <w:webHidden/>
              </w:rPr>
              <w:fldChar w:fldCharType="begin"/>
            </w:r>
            <w:r w:rsidR="002D3493">
              <w:rPr>
                <w:noProof/>
                <w:webHidden/>
              </w:rPr>
              <w:instrText xml:space="preserve"> PAGEREF _Toc394057521 \h </w:instrText>
            </w:r>
            <w:r w:rsidR="00BE5658">
              <w:rPr>
                <w:noProof/>
                <w:webHidden/>
              </w:rPr>
            </w:r>
            <w:r w:rsidR="00BE5658">
              <w:rPr>
                <w:noProof/>
                <w:webHidden/>
              </w:rPr>
              <w:fldChar w:fldCharType="separate"/>
            </w:r>
            <w:r w:rsidR="002D3493">
              <w:rPr>
                <w:noProof/>
                <w:webHidden/>
              </w:rPr>
              <w:t>28</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22" w:history="1">
            <w:r w:rsidR="002D3493" w:rsidRPr="00097AF1">
              <w:rPr>
                <w:rStyle w:val="Hyperlink"/>
                <w:noProof/>
              </w:rPr>
              <w:t>4.4.4</w:t>
            </w:r>
            <w:r w:rsidR="002D3493">
              <w:rPr>
                <w:rFonts w:eastAsiaTheme="minorEastAsia"/>
                <w:noProof/>
                <w:lang w:eastAsia="en-GB"/>
              </w:rPr>
              <w:tab/>
            </w:r>
            <w:r w:rsidR="002D3493" w:rsidRPr="00097AF1">
              <w:rPr>
                <w:rStyle w:val="Hyperlink"/>
                <w:noProof/>
              </w:rPr>
              <w:t>Importance of reliable mobile connections</w:t>
            </w:r>
            <w:r w:rsidR="002D3493">
              <w:rPr>
                <w:noProof/>
                <w:webHidden/>
              </w:rPr>
              <w:tab/>
            </w:r>
            <w:r w:rsidR="00BE5658">
              <w:rPr>
                <w:noProof/>
                <w:webHidden/>
              </w:rPr>
              <w:fldChar w:fldCharType="begin"/>
            </w:r>
            <w:r w:rsidR="002D3493">
              <w:rPr>
                <w:noProof/>
                <w:webHidden/>
              </w:rPr>
              <w:instrText xml:space="preserve"> PAGEREF _Toc394057522 \h </w:instrText>
            </w:r>
            <w:r w:rsidR="00BE5658">
              <w:rPr>
                <w:noProof/>
                <w:webHidden/>
              </w:rPr>
            </w:r>
            <w:r w:rsidR="00BE5658">
              <w:rPr>
                <w:noProof/>
                <w:webHidden/>
              </w:rPr>
              <w:fldChar w:fldCharType="separate"/>
            </w:r>
            <w:r w:rsidR="002D3493">
              <w:rPr>
                <w:noProof/>
                <w:webHidden/>
              </w:rPr>
              <w:t>30</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23" w:history="1">
            <w:r w:rsidR="002D3493" w:rsidRPr="00097AF1">
              <w:rPr>
                <w:rStyle w:val="Hyperlink"/>
                <w:noProof/>
              </w:rPr>
              <w:t>5</w:t>
            </w:r>
            <w:r w:rsidR="002D3493">
              <w:rPr>
                <w:rFonts w:eastAsiaTheme="minorEastAsia"/>
                <w:noProof/>
                <w:lang w:eastAsia="en-GB"/>
              </w:rPr>
              <w:tab/>
            </w:r>
            <w:r w:rsidR="002D3493" w:rsidRPr="00097AF1">
              <w:rPr>
                <w:rStyle w:val="Hyperlink"/>
                <w:noProof/>
              </w:rPr>
              <w:t>Business Growth and Innovation</w:t>
            </w:r>
            <w:r w:rsidR="002D3493">
              <w:rPr>
                <w:noProof/>
                <w:webHidden/>
              </w:rPr>
              <w:tab/>
            </w:r>
            <w:r w:rsidR="00BE5658">
              <w:rPr>
                <w:noProof/>
                <w:webHidden/>
              </w:rPr>
              <w:fldChar w:fldCharType="begin"/>
            </w:r>
            <w:r w:rsidR="002D3493">
              <w:rPr>
                <w:noProof/>
                <w:webHidden/>
              </w:rPr>
              <w:instrText xml:space="preserve"> PAGEREF _Toc394057523 \h </w:instrText>
            </w:r>
            <w:r w:rsidR="00BE5658">
              <w:rPr>
                <w:noProof/>
                <w:webHidden/>
              </w:rPr>
            </w:r>
            <w:r w:rsidR="00BE5658">
              <w:rPr>
                <w:noProof/>
                <w:webHidden/>
              </w:rPr>
              <w:fldChar w:fldCharType="separate"/>
            </w:r>
            <w:r w:rsidR="002D3493">
              <w:rPr>
                <w:noProof/>
                <w:webHidden/>
              </w:rPr>
              <w:t>31</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24" w:history="1">
            <w:r w:rsidR="002D3493" w:rsidRPr="00097AF1">
              <w:rPr>
                <w:rStyle w:val="Hyperlink"/>
                <w:noProof/>
              </w:rPr>
              <w:t>5.1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_Toc394057524 \h </w:instrText>
            </w:r>
            <w:r w:rsidR="00BE5658">
              <w:rPr>
                <w:noProof/>
                <w:webHidden/>
              </w:rPr>
            </w:r>
            <w:r w:rsidR="00BE5658">
              <w:rPr>
                <w:noProof/>
                <w:webHidden/>
              </w:rPr>
              <w:fldChar w:fldCharType="separate"/>
            </w:r>
            <w:r w:rsidR="002D3493">
              <w:rPr>
                <w:noProof/>
                <w:webHidden/>
              </w:rPr>
              <w:t>31</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25" w:history="1">
            <w:r w:rsidR="002D3493" w:rsidRPr="00097AF1">
              <w:rPr>
                <w:rStyle w:val="Hyperlink"/>
                <w:noProof/>
              </w:rPr>
              <w:t>5.2</w:t>
            </w:r>
            <w:r w:rsidR="002D3493">
              <w:rPr>
                <w:rFonts w:eastAsiaTheme="minorEastAsia"/>
                <w:noProof/>
                <w:lang w:eastAsia="en-GB"/>
              </w:rPr>
              <w:tab/>
            </w:r>
            <w:r w:rsidR="002D3493" w:rsidRPr="00097AF1">
              <w:rPr>
                <w:rStyle w:val="Hyperlink"/>
                <w:noProof/>
              </w:rPr>
              <w:t>Recent growth</w:t>
            </w:r>
            <w:r w:rsidR="002D3493">
              <w:rPr>
                <w:noProof/>
                <w:webHidden/>
              </w:rPr>
              <w:tab/>
            </w:r>
            <w:r w:rsidR="00BE5658">
              <w:rPr>
                <w:noProof/>
                <w:webHidden/>
              </w:rPr>
              <w:fldChar w:fldCharType="begin"/>
            </w:r>
            <w:r w:rsidR="002D3493">
              <w:rPr>
                <w:noProof/>
                <w:webHidden/>
              </w:rPr>
              <w:instrText xml:space="preserve"> PAGEREF _Toc394057525 \h </w:instrText>
            </w:r>
            <w:r w:rsidR="00BE5658">
              <w:rPr>
                <w:noProof/>
                <w:webHidden/>
              </w:rPr>
            </w:r>
            <w:r w:rsidR="00BE5658">
              <w:rPr>
                <w:noProof/>
                <w:webHidden/>
              </w:rPr>
              <w:fldChar w:fldCharType="separate"/>
            </w:r>
            <w:r w:rsidR="002D3493">
              <w:rPr>
                <w:noProof/>
                <w:webHidden/>
              </w:rPr>
              <w:t>32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26" w:history="1">
            <w:r w:rsidR="002D3493" w:rsidRPr="00097AF1">
              <w:rPr>
                <w:rStyle w:val="Hyperlink"/>
                <w:noProof/>
              </w:rPr>
              <w:t>5.2.1</w:t>
            </w:r>
            <w:r w:rsidR="002D3493">
              <w:rPr>
                <w:rFonts w:eastAsiaTheme="minorEastAsia"/>
                <w:noProof/>
                <w:lang w:eastAsia="en-GB"/>
              </w:rPr>
              <w:tab/>
            </w:r>
            <w:r w:rsidR="002D3493" w:rsidRPr="00097AF1">
              <w:rPr>
                <w:rStyle w:val="Hyperlink"/>
                <w:noProof/>
              </w:rPr>
              <w:t>Employment</w:t>
            </w:r>
            <w:r w:rsidR="002D3493">
              <w:rPr>
                <w:noProof/>
                <w:webHidden/>
              </w:rPr>
              <w:tab/>
            </w:r>
            <w:r w:rsidR="00BE5658">
              <w:rPr>
                <w:noProof/>
                <w:webHidden/>
              </w:rPr>
              <w:fldChar w:fldCharType="begin"/>
            </w:r>
            <w:r w:rsidR="002D3493">
              <w:rPr>
                <w:noProof/>
                <w:webHidden/>
              </w:rPr>
              <w:instrText xml:space="preserve"> PAGEREF _Toc394057526 \h </w:instrText>
            </w:r>
            <w:r w:rsidR="00BE5658">
              <w:rPr>
                <w:noProof/>
                <w:webHidden/>
              </w:rPr>
            </w:r>
            <w:r w:rsidR="00BE5658">
              <w:rPr>
                <w:noProof/>
                <w:webHidden/>
              </w:rPr>
              <w:fldChar w:fldCharType="separate"/>
            </w:r>
            <w:r w:rsidR="002D3493">
              <w:rPr>
                <w:noProof/>
                <w:webHidden/>
              </w:rPr>
              <w:t>32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27" w:history="1">
            <w:r w:rsidR="002D3493" w:rsidRPr="00097AF1">
              <w:rPr>
                <w:rStyle w:val="Hyperlink"/>
                <w:noProof/>
              </w:rPr>
              <w:t>5.2.2</w:t>
            </w:r>
            <w:r w:rsidR="002D3493">
              <w:rPr>
                <w:rFonts w:eastAsiaTheme="minorEastAsia"/>
                <w:noProof/>
                <w:lang w:eastAsia="en-GB"/>
              </w:rPr>
              <w:tab/>
            </w:r>
            <w:r w:rsidR="002D3493" w:rsidRPr="00097AF1">
              <w:rPr>
                <w:rStyle w:val="Hyperlink"/>
                <w:noProof/>
              </w:rPr>
              <w:t>Business performance</w:t>
            </w:r>
            <w:r w:rsidR="002D3493">
              <w:rPr>
                <w:noProof/>
                <w:webHidden/>
              </w:rPr>
              <w:tab/>
            </w:r>
            <w:r w:rsidR="00BE5658">
              <w:rPr>
                <w:noProof/>
                <w:webHidden/>
              </w:rPr>
              <w:fldChar w:fldCharType="begin"/>
            </w:r>
            <w:r w:rsidR="002D3493">
              <w:rPr>
                <w:noProof/>
                <w:webHidden/>
              </w:rPr>
              <w:instrText xml:space="preserve"> PAGEREF _Toc394057527 \h </w:instrText>
            </w:r>
            <w:r w:rsidR="00BE5658">
              <w:rPr>
                <w:noProof/>
                <w:webHidden/>
              </w:rPr>
            </w:r>
            <w:r w:rsidR="00BE5658">
              <w:rPr>
                <w:noProof/>
                <w:webHidden/>
              </w:rPr>
              <w:fldChar w:fldCharType="separate"/>
            </w:r>
            <w:r w:rsidR="002D3493">
              <w:rPr>
                <w:noProof/>
                <w:webHidden/>
              </w:rPr>
              <w:t>33</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28" w:history="1">
            <w:r w:rsidR="002D3493" w:rsidRPr="00097AF1">
              <w:rPr>
                <w:rStyle w:val="Hyperlink"/>
                <w:noProof/>
              </w:rPr>
              <w:t>5.3</w:t>
            </w:r>
            <w:r w:rsidR="002D3493">
              <w:rPr>
                <w:rFonts w:eastAsiaTheme="minorEastAsia"/>
                <w:noProof/>
                <w:lang w:eastAsia="en-GB"/>
              </w:rPr>
              <w:tab/>
            </w:r>
            <w:r w:rsidR="002D3493" w:rsidRPr="00097AF1">
              <w:rPr>
                <w:rStyle w:val="Hyperlink"/>
                <w:noProof/>
              </w:rPr>
              <w:t>Anticipated growth</w:t>
            </w:r>
            <w:r w:rsidR="002D3493">
              <w:rPr>
                <w:noProof/>
                <w:webHidden/>
              </w:rPr>
              <w:tab/>
            </w:r>
            <w:r w:rsidR="00BE5658">
              <w:rPr>
                <w:noProof/>
                <w:webHidden/>
              </w:rPr>
              <w:fldChar w:fldCharType="begin"/>
            </w:r>
            <w:r w:rsidR="002D3493">
              <w:rPr>
                <w:noProof/>
                <w:webHidden/>
              </w:rPr>
              <w:instrText xml:space="preserve"> PAGEREF _Toc394057528 \h </w:instrText>
            </w:r>
            <w:r w:rsidR="00BE5658">
              <w:rPr>
                <w:noProof/>
                <w:webHidden/>
              </w:rPr>
            </w:r>
            <w:r w:rsidR="00BE5658">
              <w:rPr>
                <w:noProof/>
                <w:webHidden/>
              </w:rPr>
              <w:fldChar w:fldCharType="separate"/>
            </w:r>
            <w:r w:rsidR="002D3493">
              <w:rPr>
                <w:noProof/>
                <w:webHidden/>
              </w:rPr>
              <w:t>34</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29" w:history="1">
            <w:r w:rsidR="002D3493" w:rsidRPr="00097AF1">
              <w:rPr>
                <w:rStyle w:val="Hyperlink"/>
                <w:noProof/>
              </w:rPr>
              <w:t>5.3.1</w:t>
            </w:r>
            <w:r w:rsidR="002D3493">
              <w:rPr>
                <w:rFonts w:eastAsiaTheme="minorEastAsia"/>
                <w:noProof/>
                <w:lang w:eastAsia="en-GB"/>
              </w:rPr>
              <w:tab/>
            </w:r>
            <w:r w:rsidR="002D3493" w:rsidRPr="00097AF1">
              <w:rPr>
                <w:rStyle w:val="Hyperlink"/>
                <w:noProof/>
              </w:rPr>
              <w:t>Employment</w:t>
            </w:r>
            <w:r w:rsidR="002D3493">
              <w:rPr>
                <w:noProof/>
                <w:webHidden/>
              </w:rPr>
              <w:tab/>
            </w:r>
            <w:r w:rsidR="00BE5658">
              <w:rPr>
                <w:noProof/>
                <w:webHidden/>
              </w:rPr>
              <w:fldChar w:fldCharType="begin"/>
            </w:r>
            <w:r w:rsidR="002D3493">
              <w:rPr>
                <w:noProof/>
                <w:webHidden/>
              </w:rPr>
              <w:instrText xml:space="preserve"> PAGEREF _Toc394057529 \h </w:instrText>
            </w:r>
            <w:r w:rsidR="00BE5658">
              <w:rPr>
                <w:noProof/>
                <w:webHidden/>
              </w:rPr>
            </w:r>
            <w:r w:rsidR="00BE5658">
              <w:rPr>
                <w:noProof/>
                <w:webHidden/>
              </w:rPr>
              <w:fldChar w:fldCharType="separate"/>
            </w:r>
            <w:r w:rsidR="002D3493">
              <w:rPr>
                <w:noProof/>
                <w:webHidden/>
              </w:rPr>
              <w:t>34</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0" w:history="1">
            <w:r w:rsidR="002D3493" w:rsidRPr="00097AF1">
              <w:rPr>
                <w:rStyle w:val="Hyperlink"/>
                <w:noProof/>
              </w:rPr>
              <w:t>5.3.2</w:t>
            </w:r>
            <w:r w:rsidR="002D3493">
              <w:rPr>
                <w:rFonts w:eastAsiaTheme="minorEastAsia"/>
                <w:noProof/>
                <w:lang w:eastAsia="en-GB"/>
              </w:rPr>
              <w:tab/>
            </w:r>
            <w:r w:rsidR="002D3493" w:rsidRPr="00097AF1">
              <w:rPr>
                <w:rStyle w:val="Hyperlink"/>
                <w:noProof/>
              </w:rPr>
              <w:t>Summary of employment growth by sector</w:t>
            </w:r>
            <w:r w:rsidR="002D3493">
              <w:rPr>
                <w:noProof/>
                <w:webHidden/>
              </w:rPr>
              <w:tab/>
            </w:r>
            <w:r w:rsidR="00BE5658">
              <w:rPr>
                <w:noProof/>
                <w:webHidden/>
              </w:rPr>
              <w:fldChar w:fldCharType="begin"/>
            </w:r>
            <w:r w:rsidR="002D3493">
              <w:rPr>
                <w:noProof/>
                <w:webHidden/>
              </w:rPr>
              <w:instrText xml:space="preserve"> PAGEREF _Toc394057530 \h </w:instrText>
            </w:r>
            <w:r w:rsidR="00BE5658">
              <w:rPr>
                <w:noProof/>
                <w:webHidden/>
              </w:rPr>
            </w:r>
            <w:r w:rsidR="00BE5658">
              <w:rPr>
                <w:noProof/>
                <w:webHidden/>
              </w:rPr>
              <w:fldChar w:fldCharType="separate"/>
            </w:r>
            <w:r w:rsidR="002D3493">
              <w:rPr>
                <w:noProof/>
                <w:webHidden/>
              </w:rPr>
              <w:t>35</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1" w:history="1">
            <w:r w:rsidR="002D3493" w:rsidRPr="00097AF1">
              <w:rPr>
                <w:rStyle w:val="Hyperlink"/>
                <w:noProof/>
              </w:rPr>
              <w:t>5.3.3</w:t>
            </w:r>
            <w:r w:rsidR="002D3493">
              <w:rPr>
                <w:rFonts w:eastAsiaTheme="minorEastAsia"/>
                <w:noProof/>
                <w:lang w:eastAsia="en-GB"/>
              </w:rPr>
              <w:tab/>
            </w:r>
            <w:r w:rsidR="002D3493" w:rsidRPr="00097AF1">
              <w:rPr>
                <w:rStyle w:val="Hyperlink"/>
                <w:noProof/>
              </w:rPr>
              <w:t>Business performance</w:t>
            </w:r>
            <w:r w:rsidR="002D3493">
              <w:rPr>
                <w:noProof/>
                <w:webHidden/>
              </w:rPr>
              <w:tab/>
            </w:r>
            <w:r w:rsidR="00BE5658">
              <w:rPr>
                <w:noProof/>
                <w:webHidden/>
              </w:rPr>
              <w:fldChar w:fldCharType="begin"/>
            </w:r>
            <w:r w:rsidR="002D3493">
              <w:rPr>
                <w:noProof/>
                <w:webHidden/>
              </w:rPr>
              <w:instrText xml:space="preserve"> PAGEREF _Toc394057531 \h </w:instrText>
            </w:r>
            <w:r w:rsidR="00BE5658">
              <w:rPr>
                <w:noProof/>
                <w:webHidden/>
              </w:rPr>
            </w:r>
            <w:r w:rsidR="00BE5658">
              <w:rPr>
                <w:noProof/>
                <w:webHidden/>
              </w:rPr>
              <w:fldChar w:fldCharType="separate"/>
            </w:r>
            <w:r w:rsidR="002D3493">
              <w:rPr>
                <w:noProof/>
                <w:webHidden/>
              </w:rPr>
              <w:t>36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32" w:history="1">
            <w:r w:rsidR="002D3493" w:rsidRPr="00097AF1">
              <w:rPr>
                <w:rStyle w:val="Hyperlink"/>
                <w:noProof/>
              </w:rPr>
              <w:t>5.4</w:t>
            </w:r>
            <w:r w:rsidR="002D3493">
              <w:rPr>
                <w:rFonts w:eastAsiaTheme="minorEastAsia"/>
                <w:noProof/>
                <w:lang w:eastAsia="en-GB"/>
              </w:rPr>
              <w:tab/>
            </w:r>
            <w:r w:rsidR="002D3493" w:rsidRPr="00097AF1">
              <w:rPr>
                <w:rStyle w:val="Hyperlink"/>
                <w:noProof/>
              </w:rPr>
              <w:t>Business planning</w:t>
            </w:r>
            <w:r w:rsidR="002D3493">
              <w:rPr>
                <w:noProof/>
                <w:webHidden/>
              </w:rPr>
              <w:tab/>
            </w:r>
            <w:r w:rsidR="00BE5658">
              <w:rPr>
                <w:noProof/>
                <w:webHidden/>
              </w:rPr>
              <w:fldChar w:fldCharType="begin"/>
            </w:r>
            <w:r w:rsidR="002D3493">
              <w:rPr>
                <w:noProof/>
                <w:webHidden/>
              </w:rPr>
              <w:instrText xml:space="preserve"> PAGEREF _Toc394057532 \h </w:instrText>
            </w:r>
            <w:r w:rsidR="00BE5658">
              <w:rPr>
                <w:noProof/>
                <w:webHidden/>
              </w:rPr>
            </w:r>
            <w:r w:rsidR="00BE5658">
              <w:rPr>
                <w:noProof/>
                <w:webHidden/>
              </w:rPr>
              <w:fldChar w:fldCharType="separate"/>
            </w:r>
            <w:r w:rsidR="002D3493">
              <w:rPr>
                <w:noProof/>
                <w:webHidden/>
              </w:rPr>
              <w:t>38</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33" w:history="1">
            <w:r w:rsidR="002D3493" w:rsidRPr="00097AF1">
              <w:rPr>
                <w:rStyle w:val="Hyperlink"/>
                <w:noProof/>
              </w:rPr>
              <w:t>5.5</w:t>
            </w:r>
            <w:r w:rsidR="002D3493">
              <w:rPr>
                <w:rFonts w:eastAsiaTheme="minorEastAsia"/>
                <w:noProof/>
                <w:lang w:eastAsia="en-GB"/>
              </w:rPr>
              <w:tab/>
            </w:r>
            <w:r w:rsidR="002D3493" w:rsidRPr="00097AF1">
              <w:rPr>
                <w:rStyle w:val="Hyperlink"/>
                <w:noProof/>
              </w:rPr>
              <w:t>Innovation</w:t>
            </w:r>
            <w:r w:rsidR="002D3493">
              <w:rPr>
                <w:noProof/>
                <w:webHidden/>
              </w:rPr>
              <w:tab/>
            </w:r>
            <w:r w:rsidR="00BE5658">
              <w:rPr>
                <w:noProof/>
                <w:webHidden/>
              </w:rPr>
              <w:fldChar w:fldCharType="begin"/>
            </w:r>
            <w:r w:rsidR="002D3493">
              <w:rPr>
                <w:noProof/>
                <w:webHidden/>
              </w:rPr>
              <w:instrText xml:space="preserve"> PAGEREF _Toc394057533 \h </w:instrText>
            </w:r>
            <w:r w:rsidR="00BE5658">
              <w:rPr>
                <w:noProof/>
                <w:webHidden/>
              </w:rPr>
            </w:r>
            <w:r w:rsidR="00BE5658">
              <w:rPr>
                <w:noProof/>
                <w:webHidden/>
              </w:rPr>
              <w:fldChar w:fldCharType="separate"/>
            </w:r>
            <w:r w:rsidR="002D3493">
              <w:rPr>
                <w:noProof/>
                <w:webHidden/>
              </w:rPr>
              <w:t>39</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4" w:history="1">
            <w:r w:rsidR="002D3493" w:rsidRPr="00097AF1">
              <w:rPr>
                <w:rStyle w:val="Hyperlink"/>
                <w:noProof/>
              </w:rPr>
              <w:t>5.5.1</w:t>
            </w:r>
            <w:r w:rsidR="002D3493">
              <w:rPr>
                <w:rFonts w:eastAsiaTheme="minorEastAsia"/>
                <w:noProof/>
                <w:lang w:eastAsia="en-GB"/>
              </w:rPr>
              <w:tab/>
            </w:r>
            <w:r w:rsidR="002D3493" w:rsidRPr="00097AF1">
              <w:rPr>
                <w:rStyle w:val="Hyperlink"/>
                <w:noProof/>
              </w:rPr>
              <w:t>New products and services</w:t>
            </w:r>
            <w:r w:rsidR="002D3493">
              <w:rPr>
                <w:noProof/>
                <w:webHidden/>
              </w:rPr>
              <w:tab/>
            </w:r>
            <w:r w:rsidR="00BE5658">
              <w:rPr>
                <w:noProof/>
                <w:webHidden/>
              </w:rPr>
              <w:fldChar w:fldCharType="begin"/>
            </w:r>
            <w:r w:rsidR="002D3493">
              <w:rPr>
                <w:noProof/>
                <w:webHidden/>
              </w:rPr>
              <w:instrText xml:space="preserve"> PAGEREF _Toc394057534 \h </w:instrText>
            </w:r>
            <w:r w:rsidR="00BE5658">
              <w:rPr>
                <w:noProof/>
                <w:webHidden/>
              </w:rPr>
            </w:r>
            <w:r w:rsidR="00BE5658">
              <w:rPr>
                <w:noProof/>
                <w:webHidden/>
              </w:rPr>
              <w:fldChar w:fldCharType="separate"/>
            </w:r>
            <w:r w:rsidR="002D3493">
              <w:rPr>
                <w:noProof/>
                <w:webHidden/>
              </w:rPr>
              <w:t>39</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5" w:history="1">
            <w:r w:rsidR="002D3493" w:rsidRPr="00097AF1">
              <w:rPr>
                <w:rStyle w:val="Hyperlink"/>
                <w:noProof/>
              </w:rPr>
              <w:t>5.5.2</w:t>
            </w:r>
            <w:r w:rsidR="002D3493">
              <w:rPr>
                <w:rFonts w:eastAsiaTheme="minorEastAsia"/>
                <w:noProof/>
                <w:lang w:eastAsia="en-GB"/>
              </w:rPr>
              <w:tab/>
            </w:r>
            <w:r w:rsidR="002D3493" w:rsidRPr="00097AF1">
              <w:rPr>
                <w:rStyle w:val="Hyperlink"/>
                <w:noProof/>
              </w:rPr>
              <w:t>New processes</w:t>
            </w:r>
            <w:r w:rsidR="002D3493">
              <w:rPr>
                <w:noProof/>
                <w:webHidden/>
              </w:rPr>
              <w:tab/>
            </w:r>
            <w:r w:rsidR="00BE5658">
              <w:rPr>
                <w:noProof/>
                <w:webHidden/>
              </w:rPr>
              <w:fldChar w:fldCharType="begin"/>
            </w:r>
            <w:r w:rsidR="002D3493">
              <w:rPr>
                <w:noProof/>
                <w:webHidden/>
              </w:rPr>
              <w:instrText xml:space="preserve"> PAGEREF _Toc394057535 \h </w:instrText>
            </w:r>
            <w:r w:rsidR="00BE5658">
              <w:rPr>
                <w:noProof/>
                <w:webHidden/>
              </w:rPr>
            </w:r>
            <w:r w:rsidR="00BE5658">
              <w:rPr>
                <w:noProof/>
                <w:webHidden/>
              </w:rPr>
              <w:fldChar w:fldCharType="separate"/>
            </w:r>
            <w:r w:rsidR="002D3493">
              <w:rPr>
                <w:noProof/>
                <w:webHidden/>
              </w:rPr>
              <w:t>39</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6" w:history="1">
            <w:r w:rsidR="002D3493" w:rsidRPr="00097AF1">
              <w:rPr>
                <w:rStyle w:val="Hyperlink"/>
                <w:noProof/>
              </w:rPr>
              <w:t>5.5.3</w:t>
            </w:r>
            <w:r w:rsidR="002D3493">
              <w:rPr>
                <w:rFonts w:eastAsiaTheme="minorEastAsia"/>
                <w:noProof/>
                <w:lang w:eastAsia="en-GB"/>
              </w:rPr>
              <w:tab/>
            </w:r>
            <w:r w:rsidR="002D3493" w:rsidRPr="00097AF1">
              <w:rPr>
                <w:rStyle w:val="Hyperlink"/>
                <w:noProof/>
              </w:rPr>
              <w:t>Research and Development facilities</w:t>
            </w:r>
            <w:r w:rsidR="002D3493">
              <w:rPr>
                <w:noProof/>
                <w:webHidden/>
              </w:rPr>
              <w:tab/>
            </w:r>
            <w:r w:rsidR="00BE5658">
              <w:rPr>
                <w:noProof/>
                <w:webHidden/>
              </w:rPr>
              <w:fldChar w:fldCharType="begin"/>
            </w:r>
            <w:r w:rsidR="002D3493">
              <w:rPr>
                <w:noProof/>
                <w:webHidden/>
              </w:rPr>
              <w:instrText xml:space="preserve"> PAGEREF _Toc394057536 \h </w:instrText>
            </w:r>
            <w:r w:rsidR="00BE5658">
              <w:rPr>
                <w:noProof/>
                <w:webHidden/>
              </w:rPr>
            </w:r>
            <w:r w:rsidR="00BE5658">
              <w:rPr>
                <w:noProof/>
                <w:webHidden/>
              </w:rPr>
              <w:fldChar w:fldCharType="separate"/>
            </w:r>
            <w:r w:rsidR="002D3493">
              <w:rPr>
                <w:noProof/>
                <w:webHidden/>
              </w:rPr>
              <w:t>40</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7" w:history="1">
            <w:r w:rsidR="002D3493" w:rsidRPr="00097AF1">
              <w:rPr>
                <w:rStyle w:val="Hyperlink"/>
                <w:noProof/>
              </w:rPr>
              <w:t>5.5.4</w:t>
            </w:r>
            <w:r w:rsidR="002D3493">
              <w:rPr>
                <w:rFonts w:eastAsiaTheme="minorEastAsia"/>
                <w:noProof/>
                <w:lang w:eastAsia="en-GB"/>
              </w:rPr>
              <w:tab/>
            </w:r>
            <w:r w:rsidR="002D3493" w:rsidRPr="00097AF1">
              <w:rPr>
                <w:rStyle w:val="Hyperlink"/>
                <w:noProof/>
              </w:rPr>
              <w:t>Collaboration with others</w:t>
            </w:r>
            <w:r w:rsidR="002D3493">
              <w:rPr>
                <w:noProof/>
                <w:webHidden/>
              </w:rPr>
              <w:tab/>
            </w:r>
            <w:r w:rsidR="00BE5658">
              <w:rPr>
                <w:noProof/>
                <w:webHidden/>
              </w:rPr>
              <w:fldChar w:fldCharType="begin"/>
            </w:r>
            <w:r w:rsidR="002D3493">
              <w:rPr>
                <w:noProof/>
                <w:webHidden/>
              </w:rPr>
              <w:instrText xml:space="preserve"> PAGEREF _Toc394057537 \h </w:instrText>
            </w:r>
            <w:r w:rsidR="00BE5658">
              <w:rPr>
                <w:noProof/>
                <w:webHidden/>
              </w:rPr>
            </w:r>
            <w:r w:rsidR="00BE5658">
              <w:rPr>
                <w:noProof/>
                <w:webHidden/>
              </w:rPr>
              <w:fldChar w:fldCharType="separate"/>
            </w:r>
            <w:r w:rsidR="002D3493">
              <w:rPr>
                <w:noProof/>
                <w:webHidden/>
              </w:rPr>
              <w:t>42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38" w:history="1">
            <w:r w:rsidR="002D3493" w:rsidRPr="00097AF1">
              <w:rPr>
                <w:rStyle w:val="Hyperlink"/>
                <w:noProof/>
              </w:rPr>
              <w:t>5.6</w:t>
            </w:r>
            <w:r w:rsidR="002D3493">
              <w:rPr>
                <w:rFonts w:eastAsiaTheme="minorEastAsia"/>
                <w:noProof/>
                <w:lang w:eastAsia="en-GB"/>
              </w:rPr>
              <w:tab/>
            </w:r>
            <w:r w:rsidR="002D3493" w:rsidRPr="00097AF1">
              <w:rPr>
                <w:rStyle w:val="Hyperlink"/>
                <w:noProof/>
              </w:rPr>
              <w:t>Factors assisting business growth</w:t>
            </w:r>
            <w:r w:rsidR="002D3493">
              <w:rPr>
                <w:noProof/>
                <w:webHidden/>
              </w:rPr>
              <w:tab/>
            </w:r>
            <w:r w:rsidR="00BE5658">
              <w:rPr>
                <w:noProof/>
                <w:webHidden/>
              </w:rPr>
              <w:fldChar w:fldCharType="begin"/>
            </w:r>
            <w:r w:rsidR="002D3493">
              <w:rPr>
                <w:noProof/>
                <w:webHidden/>
              </w:rPr>
              <w:instrText xml:space="preserve"> PAGEREF _Toc394057538 \h </w:instrText>
            </w:r>
            <w:r w:rsidR="00BE5658">
              <w:rPr>
                <w:noProof/>
                <w:webHidden/>
              </w:rPr>
            </w:r>
            <w:r w:rsidR="00BE5658">
              <w:rPr>
                <w:noProof/>
                <w:webHidden/>
              </w:rPr>
              <w:fldChar w:fldCharType="separate"/>
            </w:r>
            <w:r w:rsidR="002D3493">
              <w:rPr>
                <w:noProof/>
                <w:webHidden/>
              </w:rPr>
              <w:t>42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39" w:history="1">
            <w:r w:rsidR="002D3493" w:rsidRPr="00097AF1">
              <w:rPr>
                <w:rStyle w:val="Hyperlink"/>
                <w:noProof/>
              </w:rPr>
              <w:t>5.6.1</w:t>
            </w:r>
            <w:r w:rsidR="002D3493">
              <w:rPr>
                <w:rFonts w:eastAsiaTheme="minorEastAsia"/>
                <w:noProof/>
                <w:lang w:eastAsia="en-GB"/>
              </w:rPr>
              <w:tab/>
            </w:r>
            <w:r w:rsidR="002D3493" w:rsidRPr="00097AF1">
              <w:rPr>
                <w:rStyle w:val="Hyperlink"/>
                <w:noProof/>
              </w:rPr>
              <w:t>Potential sources of support</w:t>
            </w:r>
            <w:r w:rsidR="002D3493">
              <w:rPr>
                <w:noProof/>
                <w:webHidden/>
              </w:rPr>
              <w:tab/>
            </w:r>
            <w:r w:rsidR="00BE5658">
              <w:rPr>
                <w:noProof/>
                <w:webHidden/>
              </w:rPr>
              <w:fldChar w:fldCharType="begin"/>
            </w:r>
            <w:r w:rsidR="002D3493">
              <w:rPr>
                <w:noProof/>
                <w:webHidden/>
              </w:rPr>
              <w:instrText xml:space="preserve"> PAGEREF _Toc394057539 \h </w:instrText>
            </w:r>
            <w:r w:rsidR="00BE5658">
              <w:rPr>
                <w:noProof/>
                <w:webHidden/>
              </w:rPr>
            </w:r>
            <w:r w:rsidR="00BE5658">
              <w:rPr>
                <w:noProof/>
                <w:webHidden/>
              </w:rPr>
              <w:fldChar w:fldCharType="separate"/>
            </w:r>
            <w:r w:rsidR="002D3493">
              <w:rPr>
                <w:noProof/>
                <w:webHidden/>
              </w:rPr>
              <w:t>46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0" w:history="1">
            <w:r w:rsidR="002D3493" w:rsidRPr="00097AF1">
              <w:rPr>
                <w:rStyle w:val="Hyperlink"/>
                <w:noProof/>
              </w:rPr>
              <w:t>5.7</w:t>
            </w:r>
            <w:r w:rsidR="002D3493">
              <w:rPr>
                <w:rFonts w:eastAsiaTheme="minorEastAsia"/>
                <w:noProof/>
                <w:lang w:eastAsia="en-GB"/>
              </w:rPr>
              <w:tab/>
            </w:r>
            <w:r w:rsidR="002D3493" w:rsidRPr="00097AF1">
              <w:rPr>
                <w:rStyle w:val="Hyperlink"/>
                <w:noProof/>
              </w:rPr>
              <w:t>Obstacles to business growth</w:t>
            </w:r>
            <w:r w:rsidR="002D3493">
              <w:rPr>
                <w:noProof/>
                <w:webHidden/>
              </w:rPr>
              <w:tab/>
            </w:r>
            <w:r w:rsidR="00BE5658">
              <w:rPr>
                <w:noProof/>
                <w:webHidden/>
              </w:rPr>
              <w:fldChar w:fldCharType="begin"/>
            </w:r>
            <w:r w:rsidR="002D3493">
              <w:rPr>
                <w:noProof/>
                <w:webHidden/>
              </w:rPr>
              <w:instrText xml:space="preserve"> PAGEREF _Toc394057540 \h </w:instrText>
            </w:r>
            <w:r w:rsidR="00BE5658">
              <w:rPr>
                <w:noProof/>
                <w:webHidden/>
              </w:rPr>
            </w:r>
            <w:r w:rsidR="00BE5658">
              <w:rPr>
                <w:noProof/>
                <w:webHidden/>
              </w:rPr>
              <w:fldChar w:fldCharType="separate"/>
            </w:r>
            <w:r w:rsidR="002D3493">
              <w:rPr>
                <w:noProof/>
                <w:webHidden/>
              </w:rPr>
              <w:t>48</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41" w:history="1">
            <w:r w:rsidR="002D3493" w:rsidRPr="00097AF1">
              <w:rPr>
                <w:rStyle w:val="Hyperlink"/>
                <w:noProof/>
              </w:rPr>
              <w:t>6</w:t>
            </w:r>
            <w:r w:rsidR="002D3493">
              <w:rPr>
                <w:rFonts w:eastAsiaTheme="minorEastAsia"/>
                <w:noProof/>
                <w:lang w:eastAsia="en-GB"/>
              </w:rPr>
              <w:tab/>
            </w:r>
            <w:r w:rsidR="002D3493" w:rsidRPr="00097AF1">
              <w:rPr>
                <w:rStyle w:val="Hyperlink"/>
                <w:noProof/>
              </w:rPr>
              <w:t>Finance and Investment</w:t>
            </w:r>
            <w:r w:rsidR="002D3493">
              <w:rPr>
                <w:noProof/>
                <w:webHidden/>
              </w:rPr>
              <w:tab/>
            </w:r>
            <w:r w:rsidR="00BE5658">
              <w:rPr>
                <w:noProof/>
                <w:webHidden/>
              </w:rPr>
              <w:fldChar w:fldCharType="begin"/>
            </w:r>
            <w:r w:rsidR="002D3493">
              <w:rPr>
                <w:noProof/>
                <w:webHidden/>
              </w:rPr>
              <w:instrText xml:space="preserve"> PAGEREF _Toc394057541 \h </w:instrText>
            </w:r>
            <w:r w:rsidR="00BE5658">
              <w:rPr>
                <w:noProof/>
                <w:webHidden/>
              </w:rPr>
            </w:r>
            <w:r w:rsidR="00BE5658">
              <w:rPr>
                <w:noProof/>
                <w:webHidden/>
              </w:rPr>
              <w:fldChar w:fldCharType="separate"/>
            </w:r>
            <w:r w:rsidR="002D3493">
              <w:rPr>
                <w:noProof/>
                <w:webHidden/>
              </w:rPr>
              <w:t>52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2" w:history="1">
            <w:r w:rsidR="002D3493" w:rsidRPr="00097AF1">
              <w:rPr>
                <w:rStyle w:val="Hyperlink"/>
                <w:noProof/>
              </w:rPr>
              <w:t>6.1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_Toc394057542 \h </w:instrText>
            </w:r>
            <w:r w:rsidR="00BE5658">
              <w:rPr>
                <w:noProof/>
                <w:webHidden/>
              </w:rPr>
            </w:r>
            <w:r w:rsidR="00BE5658">
              <w:rPr>
                <w:noProof/>
                <w:webHidden/>
              </w:rPr>
              <w:fldChar w:fldCharType="separate"/>
            </w:r>
            <w:r w:rsidR="002D3493">
              <w:rPr>
                <w:noProof/>
                <w:webHidden/>
              </w:rPr>
              <w:t>52</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3" w:history="1">
            <w:r w:rsidR="002D3493" w:rsidRPr="00097AF1">
              <w:rPr>
                <w:rStyle w:val="Hyperlink"/>
                <w:noProof/>
              </w:rPr>
              <w:t>6.2</w:t>
            </w:r>
            <w:r w:rsidR="002D3493">
              <w:rPr>
                <w:rFonts w:eastAsiaTheme="minorEastAsia"/>
                <w:noProof/>
                <w:lang w:eastAsia="en-GB"/>
              </w:rPr>
              <w:tab/>
            </w:r>
            <w:r w:rsidR="002D3493" w:rsidRPr="00097AF1">
              <w:rPr>
                <w:rStyle w:val="Hyperlink"/>
                <w:noProof/>
              </w:rPr>
              <w:t>Finance recently sought</w:t>
            </w:r>
            <w:r w:rsidR="002D3493">
              <w:rPr>
                <w:noProof/>
                <w:webHidden/>
              </w:rPr>
              <w:tab/>
            </w:r>
            <w:r w:rsidR="00BE5658">
              <w:rPr>
                <w:noProof/>
                <w:webHidden/>
              </w:rPr>
              <w:fldChar w:fldCharType="begin"/>
            </w:r>
            <w:r w:rsidR="002D3493">
              <w:rPr>
                <w:noProof/>
                <w:webHidden/>
              </w:rPr>
              <w:instrText xml:space="preserve"> PAGEREF _Toc394057543 \h </w:instrText>
            </w:r>
            <w:r w:rsidR="00BE5658">
              <w:rPr>
                <w:noProof/>
                <w:webHidden/>
              </w:rPr>
            </w:r>
            <w:r w:rsidR="00BE5658">
              <w:rPr>
                <w:noProof/>
                <w:webHidden/>
              </w:rPr>
              <w:fldChar w:fldCharType="separate"/>
            </w:r>
            <w:r w:rsidR="002D3493">
              <w:rPr>
                <w:noProof/>
                <w:webHidden/>
              </w:rPr>
              <w:t>52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44" w:history="1">
            <w:r w:rsidR="002D3493" w:rsidRPr="00097AF1">
              <w:rPr>
                <w:rStyle w:val="Hyperlink"/>
                <w:noProof/>
              </w:rPr>
              <w:t>6.2.1</w:t>
            </w:r>
            <w:r w:rsidR="002D3493">
              <w:rPr>
                <w:rFonts w:eastAsiaTheme="minorEastAsia"/>
                <w:noProof/>
                <w:lang w:eastAsia="en-GB"/>
              </w:rPr>
              <w:tab/>
            </w:r>
            <w:r w:rsidR="002D3493" w:rsidRPr="00097AF1">
              <w:rPr>
                <w:rStyle w:val="Hyperlink"/>
                <w:noProof/>
              </w:rPr>
              <w:t>Difficulties in obtaining finance</w:t>
            </w:r>
            <w:r w:rsidR="002D3493">
              <w:rPr>
                <w:noProof/>
                <w:webHidden/>
              </w:rPr>
              <w:tab/>
            </w:r>
            <w:r w:rsidR="00BE5658">
              <w:rPr>
                <w:noProof/>
                <w:webHidden/>
              </w:rPr>
              <w:fldChar w:fldCharType="begin"/>
            </w:r>
            <w:r w:rsidR="002D3493">
              <w:rPr>
                <w:noProof/>
                <w:webHidden/>
              </w:rPr>
              <w:instrText xml:space="preserve"> PAGEREF _Toc394057544 \h </w:instrText>
            </w:r>
            <w:r w:rsidR="00BE5658">
              <w:rPr>
                <w:noProof/>
                <w:webHidden/>
              </w:rPr>
            </w:r>
            <w:r w:rsidR="00BE5658">
              <w:rPr>
                <w:noProof/>
                <w:webHidden/>
              </w:rPr>
              <w:fldChar w:fldCharType="separate"/>
            </w:r>
            <w:r w:rsidR="002D3493">
              <w:rPr>
                <w:noProof/>
                <w:webHidden/>
              </w:rPr>
              <w:t>54</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5" w:history="1">
            <w:r w:rsidR="002D3493" w:rsidRPr="00097AF1">
              <w:rPr>
                <w:rStyle w:val="Hyperlink"/>
                <w:noProof/>
              </w:rPr>
              <w:t>6.3</w:t>
            </w:r>
            <w:r w:rsidR="002D3493">
              <w:rPr>
                <w:rFonts w:eastAsiaTheme="minorEastAsia"/>
                <w:noProof/>
                <w:lang w:eastAsia="en-GB"/>
              </w:rPr>
              <w:tab/>
            </w:r>
            <w:r w:rsidR="002D3493" w:rsidRPr="00097AF1">
              <w:rPr>
                <w:rStyle w:val="Hyperlink"/>
                <w:noProof/>
              </w:rPr>
              <w:t>Anticipated investment</w:t>
            </w:r>
            <w:r w:rsidR="002D3493">
              <w:rPr>
                <w:noProof/>
                <w:webHidden/>
              </w:rPr>
              <w:tab/>
            </w:r>
            <w:r w:rsidR="00BE5658">
              <w:rPr>
                <w:noProof/>
                <w:webHidden/>
              </w:rPr>
              <w:fldChar w:fldCharType="begin"/>
            </w:r>
            <w:r w:rsidR="002D3493">
              <w:rPr>
                <w:noProof/>
                <w:webHidden/>
              </w:rPr>
              <w:instrText xml:space="preserve"> PAGEREF _Toc394057545 \h </w:instrText>
            </w:r>
            <w:r w:rsidR="00BE5658">
              <w:rPr>
                <w:noProof/>
                <w:webHidden/>
              </w:rPr>
            </w:r>
            <w:r w:rsidR="00BE5658">
              <w:rPr>
                <w:noProof/>
                <w:webHidden/>
              </w:rPr>
              <w:fldChar w:fldCharType="separate"/>
            </w:r>
            <w:r w:rsidR="002D3493">
              <w:rPr>
                <w:noProof/>
                <w:webHidden/>
              </w:rPr>
              <w:t>55</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46" w:history="1">
            <w:r w:rsidR="002D3493" w:rsidRPr="00097AF1">
              <w:rPr>
                <w:rStyle w:val="Hyperlink"/>
                <w:noProof/>
              </w:rPr>
              <w:t>7</w:t>
            </w:r>
            <w:r w:rsidR="002D3493">
              <w:rPr>
                <w:rFonts w:eastAsiaTheme="minorEastAsia"/>
                <w:noProof/>
                <w:lang w:eastAsia="en-GB"/>
              </w:rPr>
              <w:tab/>
            </w:r>
            <w:r w:rsidR="002D3493" w:rsidRPr="00097AF1">
              <w:rPr>
                <w:rStyle w:val="Hyperlink"/>
                <w:noProof/>
              </w:rPr>
              <w:t>Recruitment and Skill Shortages</w:t>
            </w:r>
            <w:r w:rsidR="002D3493">
              <w:rPr>
                <w:noProof/>
                <w:webHidden/>
              </w:rPr>
              <w:tab/>
            </w:r>
            <w:r w:rsidR="00BE5658">
              <w:rPr>
                <w:noProof/>
                <w:webHidden/>
              </w:rPr>
              <w:fldChar w:fldCharType="begin"/>
            </w:r>
            <w:r w:rsidR="002D3493">
              <w:rPr>
                <w:noProof/>
                <w:webHidden/>
              </w:rPr>
              <w:instrText xml:space="preserve"> PAGEREF _Toc394057546 \h </w:instrText>
            </w:r>
            <w:r w:rsidR="00BE5658">
              <w:rPr>
                <w:noProof/>
                <w:webHidden/>
              </w:rPr>
            </w:r>
            <w:r w:rsidR="00BE5658">
              <w:rPr>
                <w:noProof/>
                <w:webHidden/>
              </w:rPr>
              <w:fldChar w:fldCharType="separate"/>
            </w:r>
            <w:r w:rsidR="002D3493">
              <w:rPr>
                <w:noProof/>
                <w:webHidden/>
              </w:rPr>
              <w:t>58</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7" w:history="1">
            <w:r w:rsidR="002D3493" w:rsidRPr="00097AF1">
              <w:rPr>
                <w:rStyle w:val="Hyperlink"/>
                <w:noProof/>
              </w:rPr>
              <w:t>7.1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_Toc394057547 \h </w:instrText>
            </w:r>
            <w:r w:rsidR="00BE5658">
              <w:rPr>
                <w:noProof/>
                <w:webHidden/>
              </w:rPr>
            </w:r>
            <w:r w:rsidR="00BE5658">
              <w:rPr>
                <w:noProof/>
                <w:webHidden/>
              </w:rPr>
              <w:fldChar w:fldCharType="separate"/>
            </w:r>
            <w:r w:rsidR="002D3493">
              <w:rPr>
                <w:noProof/>
                <w:webHidden/>
              </w:rPr>
              <w:t>58</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8" w:history="1">
            <w:r w:rsidR="002D3493" w:rsidRPr="00097AF1">
              <w:rPr>
                <w:rStyle w:val="Hyperlink"/>
                <w:noProof/>
              </w:rPr>
              <w:t>7.2</w:t>
            </w:r>
            <w:r w:rsidR="002D3493">
              <w:rPr>
                <w:rFonts w:eastAsiaTheme="minorEastAsia"/>
                <w:noProof/>
                <w:lang w:eastAsia="en-GB"/>
              </w:rPr>
              <w:tab/>
            </w:r>
            <w:r w:rsidR="002D3493" w:rsidRPr="00097AF1">
              <w:rPr>
                <w:rStyle w:val="Hyperlink"/>
                <w:noProof/>
              </w:rPr>
              <w:t>Recent recruitment activity</w:t>
            </w:r>
            <w:r w:rsidR="002D3493">
              <w:rPr>
                <w:noProof/>
                <w:webHidden/>
              </w:rPr>
              <w:tab/>
            </w:r>
            <w:r w:rsidR="00BE5658">
              <w:rPr>
                <w:noProof/>
                <w:webHidden/>
              </w:rPr>
              <w:fldChar w:fldCharType="begin"/>
            </w:r>
            <w:r w:rsidR="002D3493">
              <w:rPr>
                <w:noProof/>
                <w:webHidden/>
              </w:rPr>
              <w:instrText xml:space="preserve"> PAGEREF _Toc394057548 \h </w:instrText>
            </w:r>
            <w:r w:rsidR="00BE5658">
              <w:rPr>
                <w:noProof/>
                <w:webHidden/>
              </w:rPr>
            </w:r>
            <w:r w:rsidR="00BE5658">
              <w:rPr>
                <w:noProof/>
                <w:webHidden/>
              </w:rPr>
              <w:fldChar w:fldCharType="separate"/>
            </w:r>
            <w:r w:rsidR="002D3493">
              <w:rPr>
                <w:noProof/>
                <w:webHidden/>
              </w:rPr>
              <w:t>58</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49" w:history="1">
            <w:r w:rsidR="002D3493" w:rsidRPr="00097AF1">
              <w:rPr>
                <w:rStyle w:val="Hyperlink"/>
                <w:noProof/>
              </w:rPr>
              <w:t>7.3</w:t>
            </w:r>
            <w:r w:rsidR="002D3493">
              <w:rPr>
                <w:rFonts w:eastAsiaTheme="minorEastAsia"/>
                <w:noProof/>
                <w:lang w:eastAsia="en-GB"/>
              </w:rPr>
              <w:tab/>
            </w:r>
            <w:r w:rsidR="002D3493" w:rsidRPr="00097AF1">
              <w:rPr>
                <w:rStyle w:val="Hyperlink"/>
                <w:noProof/>
              </w:rPr>
              <w:t>Recruitment difficulties</w:t>
            </w:r>
            <w:r w:rsidR="002D3493">
              <w:rPr>
                <w:noProof/>
                <w:webHidden/>
              </w:rPr>
              <w:tab/>
            </w:r>
            <w:r w:rsidR="00BE5658">
              <w:rPr>
                <w:noProof/>
                <w:webHidden/>
              </w:rPr>
              <w:fldChar w:fldCharType="begin"/>
            </w:r>
            <w:r w:rsidR="002D3493">
              <w:rPr>
                <w:noProof/>
                <w:webHidden/>
              </w:rPr>
              <w:instrText xml:space="preserve"> PAGEREF _Toc394057549 \h </w:instrText>
            </w:r>
            <w:r w:rsidR="00BE5658">
              <w:rPr>
                <w:noProof/>
                <w:webHidden/>
              </w:rPr>
            </w:r>
            <w:r w:rsidR="00BE5658">
              <w:rPr>
                <w:noProof/>
                <w:webHidden/>
              </w:rPr>
              <w:fldChar w:fldCharType="separate"/>
            </w:r>
            <w:r w:rsidR="002D3493">
              <w:rPr>
                <w:noProof/>
                <w:webHidden/>
              </w:rPr>
              <w:t>63</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50" w:history="1">
            <w:r w:rsidR="002D3493" w:rsidRPr="00097AF1">
              <w:rPr>
                <w:rStyle w:val="Hyperlink"/>
                <w:noProof/>
              </w:rPr>
              <w:t>8</w:t>
            </w:r>
            <w:r w:rsidR="002D3493">
              <w:rPr>
                <w:rFonts w:eastAsiaTheme="minorEastAsia"/>
                <w:noProof/>
                <w:lang w:eastAsia="en-GB"/>
              </w:rPr>
              <w:tab/>
            </w:r>
            <w:r w:rsidR="002D3493" w:rsidRPr="00097AF1">
              <w:rPr>
                <w:rStyle w:val="Hyperlink"/>
                <w:noProof/>
              </w:rPr>
              <w:t>Skill Gaps and Skill Development</w:t>
            </w:r>
            <w:r w:rsidR="002D3493">
              <w:rPr>
                <w:noProof/>
                <w:webHidden/>
              </w:rPr>
              <w:tab/>
            </w:r>
            <w:r w:rsidR="00BE5658">
              <w:rPr>
                <w:noProof/>
                <w:webHidden/>
              </w:rPr>
              <w:fldChar w:fldCharType="begin"/>
            </w:r>
            <w:r w:rsidR="002D3493">
              <w:rPr>
                <w:noProof/>
                <w:webHidden/>
              </w:rPr>
              <w:instrText xml:space="preserve"> PAGEREF _Toc394057550 \h </w:instrText>
            </w:r>
            <w:r w:rsidR="00BE5658">
              <w:rPr>
                <w:noProof/>
                <w:webHidden/>
              </w:rPr>
            </w:r>
            <w:r w:rsidR="00BE5658">
              <w:rPr>
                <w:noProof/>
                <w:webHidden/>
              </w:rPr>
              <w:fldChar w:fldCharType="separate"/>
            </w:r>
            <w:r w:rsidR="002D3493">
              <w:rPr>
                <w:noProof/>
                <w:webHidden/>
              </w:rPr>
              <w:t>66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51" w:history="1">
            <w:r w:rsidR="002D3493" w:rsidRPr="00097AF1">
              <w:rPr>
                <w:rStyle w:val="Hyperlink"/>
                <w:noProof/>
              </w:rPr>
              <w:t>8.1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_Toc394057551 \h </w:instrText>
            </w:r>
            <w:r w:rsidR="00BE5658">
              <w:rPr>
                <w:noProof/>
                <w:webHidden/>
              </w:rPr>
            </w:r>
            <w:r w:rsidR="00BE5658">
              <w:rPr>
                <w:noProof/>
                <w:webHidden/>
              </w:rPr>
              <w:fldChar w:fldCharType="separate"/>
            </w:r>
            <w:r w:rsidR="002D3493">
              <w:rPr>
                <w:noProof/>
                <w:webHidden/>
              </w:rPr>
              <w:t>66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52" w:history="1">
            <w:r w:rsidR="002D3493" w:rsidRPr="00097AF1">
              <w:rPr>
                <w:rStyle w:val="Hyperlink"/>
                <w:noProof/>
              </w:rPr>
              <w:t>8.2</w:t>
            </w:r>
            <w:r w:rsidR="002D3493">
              <w:rPr>
                <w:rFonts w:eastAsiaTheme="minorEastAsia"/>
                <w:noProof/>
                <w:lang w:eastAsia="en-GB"/>
              </w:rPr>
              <w:tab/>
            </w:r>
            <w:r w:rsidR="002D3493" w:rsidRPr="00097AF1">
              <w:rPr>
                <w:rStyle w:val="Hyperlink"/>
                <w:noProof/>
              </w:rPr>
              <w:t>Current skill levels</w:t>
            </w:r>
            <w:r w:rsidR="002D3493">
              <w:rPr>
                <w:noProof/>
                <w:webHidden/>
              </w:rPr>
              <w:tab/>
            </w:r>
            <w:r w:rsidR="00BE5658">
              <w:rPr>
                <w:noProof/>
                <w:webHidden/>
              </w:rPr>
              <w:fldChar w:fldCharType="begin"/>
            </w:r>
            <w:r w:rsidR="002D3493">
              <w:rPr>
                <w:noProof/>
                <w:webHidden/>
              </w:rPr>
              <w:instrText xml:space="preserve"> PAGEREF _Toc394057552 \h </w:instrText>
            </w:r>
            <w:r w:rsidR="00BE5658">
              <w:rPr>
                <w:noProof/>
                <w:webHidden/>
              </w:rPr>
            </w:r>
            <w:r w:rsidR="00BE5658">
              <w:rPr>
                <w:noProof/>
                <w:webHidden/>
              </w:rPr>
              <w:fldChar w:fldCharType="separate"/>
            </w:r>
            <w:r w:rsidR="002D3493">
              <w:rPr>
                <w:noProof/>
                <w:webHidden/>
              </w:rPr>
              <w:t>66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53" w:history="1">
            <w:r w:rsidR="002D3493" w:rsidRPr="00097AF1">
              <w:rPr>
                <w:rStyle w:val="Hyperlink"/>
                <w:noProof/>
              </w:rPr>
              <w:t>8.3</w:t>
            </w:r>
            <w:r w:rsidR="002D3493">
              <w:rPr>
                <w:rFonts w:eastAsiaTheme="minorEastAsia"/>
                <w:noProof/>
                <w:lang w:eastAsia="en-GB"/>
              </w:rPr>
              <w:tab/>
            </w:r>
            <w:r w:rsidR="002D3493" w:rsidRPr="00097AF1">
              <w:rPr>
                <w:rStyle w:val="Hyperlink"/>
                <w:noProof/>
              </w:rPr>
              <w:t>Skill Gaps</w:t>
            </w:r>
            <w:r w:rsidR="002D3493">
              <w:rPr>
                <w:noProof/>
                <w:webHidden/>
              </w:rPr>
              <w:tab/>
            </w:r>
            <w:r w:rsidR="00BE5658">
              <w:rPr>
                <w:noProof/>
                <w:webHidden/>
              </w:rPr>
              <w:fldChar w:fldCharType="begin"/>
            </w:r>
            <w:r w:rsidR="002D3493">
              <w:rPr>
                <w:noProof/>
                <w:webHidden/>
              </w:rPr>
              <w:instrText xml:space="preserve"> PAGEREF _Toc394057553 \h </w:instrText>
            </w:r>
            <w:r w:rsidR="00BE5658">
              <w:rPr>
                <w:noProof/>
                <w:webHidden/>
              </w:rPr>
            </w:r>
            <w:r w:rsidR="00BE5658">
              <w:rPr>
                <w:noProof/>
                <w:webHidden/>
              </w:rPr>
              <w:fldChar w:fldCharType="separate"/>
            </w:r>
            <w:r w:rsidR="002D3493">
              <w:rPr>
                <w:noProof/>
                <w:webHidden/>
              </w:rPr>
              <w:t>67</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54" w:history="1">
            <w:r w:rsidR="002D3493" w:rsidRPr="00097AF1">
              <w:rPr>
                <w:rStyle w:val="Hyperlink"/>
                <w:noProof/>
              </w:rPr>
              <w:t>8.4</w:t>
            </w:r>
            <w:r w:rsidR="002D3493">
              <w:rPr>
                <w:rFonts w:eastAsiaTheme="minorEastAsia"/>
                <w:noProof/>
                <w:lang w:eastAsia="en-GB"/>
              </w:rPr>
              <w:tab/>
            </w:r>
            <w:r w:rsidR="002D3493" w:rsidRPr="00097AF1">
              <w:rPr>
                <w:rStyle w:val="Hyperlink"/>
                <w:noProof/>
              </w:rPr>
              <w:t>Training activity</w:t>
            </w:r>
            <w:r w:rsidR="002D3493">
              <w:rPr>
                <w:noProof/>
                <w:webHidden/>
              </w:rPr>
              <w:tab/>
            </w:r>
            <w:r w:rsidR="00BE5658">
              <w:rPr>
                <w:noProof/>
                <w:webHidden/>
              </w:rPr>
              <w:fldChar w:fldCharType="begin"/>
            </w:r>
            <w:r w:rsidR="002D3493">
              <w:rPr>
                <w:noProof/>
                <w:webHidden/>
              </w:rPr>
              <w:instrText xml:space="preserve"> PAGEREF _Toc394057554 \h </w:instrText>
            </w:r>
            <w:r w:rsidR="00BE5658">
              <w:rPr>
                <w:noProof/>
                <w:webHidden/>
              </w:rPr>
            </w:r>
            <w:r w:rsidR="00BE5658">
              <w:rPr>
                <w:noProof/>
                <w:webHidden/>
              </w:rPr>
              <w:fldChar w:fldCharType="separate"/>
            </w:r>
            <w:r w:rsidR="002D3493">
              <w:rPr>
                <w:noProof/>
                <w:webHidden/>
              </w:rPr>
              <w:t>71</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55" w:history="1">
            <w:r w:rsidR="002D3493" w:rsidRPr="00097AF1">
              <w:rPr>
                <w:rStyle w:val="Hyperlink"/>
                <w:noProof/>
              </w:rPr>
              <w:t>8.4.1</w:t>
            </w:r>
            <w:r w:rsidR="002D3493">
              <w:rPr>
                <w:rFonts w:eastAsiaTheme="minorEastAsia"/>
                <w:noProof/>
                <w:lang w:eastAsia="en-GB"/>
              </w:rPr>
              <w:tab/>
            </w:r>
            <w:r w:rsidR="002D3493" w:rsidRPr="00097AF1">
              <w:rPr>
                <w:rStyle w:val="Hyperlink"/>
                <w:noProof/>
              </w:rPr>
              <w:t>Training plans and budgets</w:t>
            </w:r>
            <w:r w:rsidR="002D3493">
              <w:rPr>
                <w:noProof/>
                <w:webHidden/>
              </w:rPr>
              <w:tab/>
            </w:r>
            <w:r w:rsidR="00BE5658">
              <w:rPr>
                <w:noProof/>
                <w:webHidden/>
              </w:rPr>
              <w:fldChar w:fldCharType="begin"/>
            </w:r>
            <w:r w:rsidR="002D3493">
              <w:rPr>
                <w:noProof/>
                <w:webHidden/>
              </w:rPr>
              <w:instrText xml:space="preserve"> PAGEREF _Toc394057555 \h </w:instrText>
            </w:r>
            <w:r w:rsidR="00BE5658">
              <w:rPr>
                <w:noProof/>
                <w:webHidden/>
              </w:rPr>
            </w:r>
            <w:r w:rsidR="00BE5658">
              <w:rPr>
                <w:noProof/>
                <w:webHidden/>
              </w:rPr>
              <w:fldChar w:fldCharType="separate"/>
            </w:r>
            <w:r w:rsidR="002D3493">
              <w:rPr>
                <w:noProof/>
                <w:webHidden/>
              </w:rPr>
              <w:t>71</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56" w:history="1">
            <w:r w:rsidR="002D3493" w:rsidRPr="00097AF1">
              <w:rPr>
                <w:rStyle w:val="Hyperlink"/>
                <w:noProof/>
              </w:rPr>
              <w:t>8.4.2</w:t>
            </w:r>
            <w:r w:rsidR="002D3493">
              <w:rPr>
                <w:rFonts w:eastAsiaTheme="minorEastAsia"/>
                <w:noProof/>
                <w:lang w:eastAsia="en-GB"/>
              </w:rPr>
              <w:tab/>
            </w:r>
            <w:r w:rsidR="002D3493" w:rsidRPr="00097AF1">
              <w:rPr>
                <w:rStyle w:val="Hyperlink"/>
                <w:noProof/>
              </w:rPr>
              <w:t>Off-the-job training</w:t>
            </w:r>
            <w:r w:rsidR="002D3493">
              <w:rPr>
                <w:noProof/>
                <w:webHidden/>
              </w:rPr>
              <w:tab/>
            </w:r>
            <w:r w:rsidR="00BE5658">
              <w:rPr>
                <w:noProof/>
                <w:webHidden/>
              </w:rPr>
              <w:fldChar w:fldCharType="begin"/>
            </w:r>
            <w:r w:rsidR="002D3493">
              <w:rPr>
                <w:noProof/>
                <w:webHidden/>
              </w:rPr>
              <w:instrText xml:space="preserve"> PAGEREF _Toc394057556 \h </w:instrText>
            </w:r>
            <w:r w:rsidR="00BE5658">
              <w:rPr>
                <w:noProof/>
                <w:webHidden/>
              </w:rPr>
            </w:r>
            <w:r w:rsidR="00BE5658">
              <w:rPr>
                <w:noProof/>
                <w:webHidden/>
              </w:rPr>
              <w:fldChar w:fldCharType="separate"/>
            </w:r>
            <w:r w:rsidR="002D3493">
              <w:rPr>
                <w:noProof/>
                <w:webHidden/>
              </w:rPr>
              <w:t>71</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57" w:history="1">
            <w:r w:rsidR="002D3493" w:rsidRPr="00097AF1">
              <w:rPr>
                <w:rStyle w:val="Hyperlink"/>
                <w:noProof/>
              </w:rPr>
              <w:t>8.4.3</w:t>
            </w:r>
            <w:r w:rsidR="002D3493">
              <w:rPr>
                <w:rFonts w:eastAsiaTheme="minorEastAsia"/>
                <w:noProof/>
                <w:lang w:eastAsia="en-GB"/>
              </w:rPr>
              <w:tab/>
            </w:r>
            <w:r w:rsidR="002D3493" w:rsidRPr="00097AF1">
              <w:rPr>
                <w:rStyle w:val="Hyperlink"/>
                <w:noProof/>
              </w:rPr>
              <w:t>On-the-job training</w:t>
            </w:r>
            <w:r w:rsidR="002D3493">
              <w:rPr>
                <w:noProof/>
                <w:webHidden/>
              </w:rPr>
              <w:tab/>
            </w:r>
            <w:r w:rsidR="00BE5658">
              <w:rPr>
                <w:noProof/>
                <w:webHidden/>
              </w:rPr>
              <w:fldChar w:fldCharType="begin"/>
            </w:r>
            <w:r w:rsidR="002D3493">
              <w:rPr>
                <w:noProof/>
                <w:webHidden/>
              </w:rPr>
              <w:instrText xml:space="preserve"> PAGEREF _Toc394057557 \h </w:instrText>
            </w:r>
            <w:r w:rsidR="00BE5658">
              <w:rPr>
                <w:noProof/>
                <w:webHidden/>
              </w:rPr>
            </w:r>
            <w:r w:rsidR="00BE5658">
              <w:rPr>
                <w:noProof/>
                <w:webHidden/>
              </w:rPr>
              <w:fldChar w:fldCharType="separate"/>
            </w:r>
            <w:r w:rsidR="002D3493">
              <w:rPr>
                <w:noProof/>
                <w:webHidden/>
              </w:rPr>
              <w:t>72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58" w:history="1">
            <w:r w:rsidR="002D3493" w:rsidRPr="00097AF1">
              <w:rPr>
                <w:rStyle w:val="Hyperlink"/>
                <w:noProof/>
              </w:rPr>
              <w:t>8.4.4</w:t>
            </w:r>
            <w:r w:rsidR="002D3493">
              <w:rPr>
                <w:rFonts w:eastAsiaTheme="minorEastAsia"/>
                <w:noProof/>
                <w:lang w:eastAsia="en-GB"/>
              </w:rPr>
              <w:tab/>
            </w:r>
            <w:r w:rsidR="002D3493" w:rsidRPr="00097AF1">
              <w:rPr>
                <w:rStyle w:val="Hyperlink"/>
                <w:noProof/>
              </w:rPr>
              <w:t>Summary of training</w:t>
            </w:r>
            <w:r w:rsidR="002D3493">
              <w:rPr>
                <w:noProof/>
                <w:webHidden/>
              </w:rPr>
              <w:tab/>
            </w:r>
            <w:r w:rsidR="00BE5658">
              <w:rPr>
                <w:noProof/>
                <w:webHidden/>
              </w:rPr>
              <w:fldChar w:fldCharType="begin"/>
            </w:r>
            <w:r w:rsidR="002D3493">
              <w:rPr>
                <w:noProof/>
                <w:webHidden/>
              </w:rPr>
              <w:instrText xml:space="preserve"> PAGEREF _Toc394057558 \h </w:instrText>
            </w:r>
            <w:r w:rsidR="00BE5658">
              <w:rPr>
                <w:noProof/>
                <w:webHidden/>
              </w:rPr>
            </w:r>
            <w:r w:rsidR="00BE5658">
              <w:rPr>
                <w:noProof/>
                <w:webHidden/>
              </w:rPr>
              <w:fldChar w:fldCharType="separate"/>
            </w:r>
            <w:r w:rsidR="002D3493">
              <w:rPr>
                <w:noProof/>
                <w:webHidden/>
              </w:rPr>
              <w:t>72</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59" w:history="1">
            <w:r w:rsidR="002D3493" w:rsidRPr="00097AF1">
              <w:rPr>
                <w:rStyle w:val="Hyperlink"/>
                <w:noProof/>
              </w:rPr>
              <w:t>8.4.5</w:t>
            </w:r>
            <w:r w:rsidR="002D3493">
              <w:rPr>
                <w:rFonts w:eastAsiaTheme="minorEastAsia"/>
                <w:noProof/>
                <w:lang w:eastAsia="en-GB"/>
              </w:rPr>
              <w:tab/>
            </w:r>
            <w:r w:rsidR="002D3493" w:rsidRPr="00097AF1">
              <w:rPr>
                <w:rStyle w:val="Hyperlink"/>
                <w:noProof/>
              </w:rPr>
              <w:t>Ways in which training is delivered</w:t>
            </w:r>
            <w:r w:rsidR="002D3493">
              <w:rPr>
                <w:noProof/>
                <w:webHidden/>
              </w:rPr>
              <w:tab/>
            </w:r>
            <w:r w:rsidR="00BE5658">
              <w:rPr>
                <w:noProof/>
                <w:webHidden/>
              </w:rPr>
              <w:fldChar w:fldCharType="begin"/>
            </w:r>
            <w:r w:rsidR="002D3493">
              <w:rPr>
                <w:noProof/>
                <w:webHidden/>
              </w:rPr>
              <w:instrText xml:space="preserve"> PAGEREF _Toc394057559 \h </w:instrText>
            </w:r>
            <w:r w:rsidR="00BE5658">
              <w:rPr>
                <w:noProof/>
                <w:webHidden/>
              </w:rPr>
            </w:r>
            <w:r w:rsidR="00BE5658">
              <w:rPr>
                <w:noProof/>
                <w:webHidden/>
              </w:rPr>
              <w:fldChar w:fldCharType="separate"/>
            </w:r>
            <w:r w:rsidR="002D3493">
              <w:rPr>
                <w:noProof/>
                <w:webHidden/>
              </w:rPr>
              <w:t>74</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60" w:history="1">
            <w:r w:rsidR="002D3493" w:rsidRPr="00097AF1">
              <w:rPr>
                <w:rStyle w:val="Hyperlink"/>
                <w:noProof/>
              </w:rPr>
              <w:t>8.4.6</w:t>
            </w:r>
            <w:r w:rsidR="002D3493">
              <w:rPr>
                <w:rFonts w:eastAsiaTheme="minorEastAsia"/>
                <w:noProof/>
                <w:lang w:eastAsia="en-GB"/>
              </w:rPr>
              <w:tab/>
            </w:r>
            <w:r w:rsidR="002D3493" w:rsidRPr="00097AF1">
              <w:rPr>
                <w:rStyle w:val="Hyperlink"/>
                <w:noProof/>
              </w:rPr>
              <w:t>Assessment of training delivered</w:t>
            </w:r>
            <w:r w:rsidR="002D3493">
              <w:rPr>
                <w:noProof/>
                <w:webHidden/>
              </w:rPr>
              <w:tab/>
            </w:r>
            <w:r w:rsidR="00BE5658">
              <w:rPr>
                <w:noProof/>
                <w:webHidden/>
              </w:rPr>
              <w:fldChar w:fldCharType="begin"/>
            </w:r>
            <w:r w:rsidR="002D3493">
              <w:rPr>
                <w:noProof/>
                <w:webHidden/>
              </w:rPr>
              <w:instrText xml:space="preserve"> PAGEREF _Toc394057560 \h </w:instrText>
            </w:r>
            <w:r w:rsidR="00BE5658">
              <w:rPr>
                <w:noProof/>
                <w:webHidden/>
              </w:rPr>
            </w:r>
            <w:r w:rsidR="00BE5658">
              <w:rPr>
                <w:noProof/>
                <w:webHidden/>
              </w:rPr>
              <w:fldChar w:fldCharType="separate"/>
            </w:r>
            <w:r w:rsidR="002D3493">
              <w:rPr>
                <w:noProof/>
                <w:webHidden/>
              </w:rPr>
              <w:t>75</w:t>
            </w:r>
            <w:r w:rsidR="00BE5658">
              <w:rPr>
                <w:noProof/>
                <w:webHidden/>
              </w:rPr>
              <w:fldChar w:fldCharType="end"/>
            </w:r>
          </w:hyperlink>
        </w:p>
        <w:p w:rsidR="002D3493" w:rsidRDefault="00CE29CD">
          <w:pPr>
            <w:pStyle w:val="TOC3"/>
            <w:tabs>
              <w:tab w:val="left" w:pos="1320"/>
              <w:tab w:val="right" w:leader="dot" w:pos="9017"/>
            </w:tabs>
            <w:rPr>
              <w:rFonts w:eastAsiaTheme="minorEastAsia"/>
              <w:noProof/>
              <w:lang w:eastAsia="en-GB"/>
            </w:rPr>
          </w:pPr>
          <w:hyperlink w:anchor="_Toc394057561" w:history="1">
            <w:r w:rsidR="002D3493" w:rsidRPr="00097AF1">
              <w:rPr>
                <w:rStyle w:val="Hyperlink"/>
                <w:noProof/>
              </w:rPr>
              <w:t>8.4.7</w:t>
            </w:r>
            <w:r w:rsidR="002D3493">
              <w:rPr>
                <w:rFonts w:eastAsiaTheme="minorEastAsia"/>
                <w:noProof/>
                <w:lang w:eastAsia="en-GB"/>
              </w:rPr>
              <w:tab/>
            </w:r>
            <w:r w:rsidR="002D3493" w:rsidRPr="00097AF1">
              <w:rPr>
                <w:rStyle w:val="Hyperlink"/>
                <w:noProof/>
              </w:rPr>
              <w:t>Obstacle to training delivery</w:t>
            </w:r>
            <w:r w:rsidR="002D3493">
              <w:rPr>
                <w:noProof/>
                <w:webHidden/>
              </w:rPr>
              <w:tab/>
            </w:r>
            <w:r w:rsidR="00BE5658">
              <w:rPr>
                <w:noProof/>
                <w:webHidden/>
              </w:rPr>
              <w:fldChar w:fldCharType="begin"/>
            </w:r>
            <w:r w:rsidR="002D3493">
              <w:rPr>
                <w:noProof/>
                <w:webHidden/>
              </w:rPr>
              <w:instrText xml:space="preserve"> PAGEREF _Toc394057561 \h </w:instrText>
            </w:r>
            <w:r w:rsidR="00BE5658">
              <w:rPr>
                <w:noProof/>
                <w:webHidden/>
              </w:rPr>
            </w:r>
            <w:r w:rsidR="00BE5658">
              <w:rPr>
                <w:noProof/>
                <w:webHidden/>
              </w:rPr>
              <w:fldChar w:fldCharType="separate"/>
            </w:r>
            <w:r w:rsidR="002D3493">
              <w:rPr>
                <w:noProof/>
                <w:webHidden/>
              </w:rPr>
              <w:t>76</w:t>
            </w:r>
            <w:r w:rsidR="00BE5658">
              <w:rPr>
                <w:noProof/>
                <w:webHidden/>
              </w:rPr>
              <w:fldChar w:fldCharType="end"/>
            </w:r>
          </w:hyperlink>
        </w:p>
        <w:p w:rsidR="002D3493" w:rsidRDefault="00CE29CD">
          <w:pPr>
            <w:pStyle w:val="TOC1"/>
            <w:tabs>
              <w:tab w:val="left" w:pos="440"/>
              <w:tab w:val="right" w:leader="dot" w:pos="9017"/>
            </w:tabs>
            <w:rPr>
              <w:rFonts w:eastAsiaTheme="minorEastAsia"/>
              <w:noProof/>
              <w:lang w:eastAsia="en-GB"/>
            </w:rPr>
          </w:pPr>
          <w:hyperlink w:anchor="_Toc394057562" w:history="1">
            <w:r w:rsidR="002D3493" w:rsidRPr="00097AF1">
              <w:rPr>
                <w:rStyle w:val="Hyperlink"/>
                <w:noProof/>
              </w:rPr>
              <w:t>9</w:t>
            </w:r>
            <w:r w:rsidR="002D3493">
              <w:rPr>
                <w:rFonts w:eastAsiaTheme="minorEastAsia"/>
                <w:noProof/>
                <w:lang w:eastAsia="en-GB"/>
              </w:rPr>
              <w:tab/>
            </w:r>
            <w:r w:rsidR="002D3493" w:rsidRPr="00097AF1">
              <w:rPr>
                <w:rStyle w:val="Hyperlink"/>
                <w:noProof/>
              </w:rPr>
              <w:t>The Environment</w:t>
            </w:r>
            <w:r w:rsidR="002D3493">
              <w:rPr>
                <w:noProof/>
                <w:webHidden/>
              </w:rPr>
              <w:tab/>
            </w:r>
            <w:r w:rsidR="00BE5658">
              <w:rPr>
                <w:noProof/>
                <w:webHidden/>
              </w:rPr>
              <w:fldChar w:fldCharType="begin"/>
            </w:r>
            <w:r w:rsidR="002D3493">
              <w:rPr>
                <w:noProof/>
                <w:webHidden/>
              </w:rPr>
              <w:instrText xml:space="preserve"> PAGEREF _Toc394057562 \h </w:instrText>
            </w:r>
            <w:r w:rsidR="00BE5658">
              <w:rPr>
                <w:noProof/>
                <w:webHidden/>
              </w:rPr>
            </w:r>
            <w:r w:rsidR="00BE5658">
              <w:rPr>
                <w:noProof/>
                <w:webHidden/>
              </w:rPr>
              <w:fldChar w:fldCharType="separate"/>
            </w:r>
            <w:r w:rsidR="002D3493">
              <w:rPr>
                <w:noProof/>
                <w:webHidden/>
              </w:rPr>
              <w:t>77</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63" w:history="1">
            <w:r w:rsidR="002D3493" w:rsidRPr="00097AF1">
              <w:rPr>
                <w:rStyle w:val="Hyperlink"/>
                <w:noProof/>
              </w:rPr>
              <w:t>9.1</w:t>
            </w:r>
            <w:r w:rsidR="002D3493">
              <w:rPr>
                <w:rFonts w:eastAsiaTheme="minorEastAsia"/>
                <w:noProof/>
                <w:lang w:eastAsia="en-GB"/>
              </w:rPr>
              <w:tab/>
            </w:r>
            <w:r w:rsidR="002D3493" w:rsidRPr="00097AF1">
              <w:rPr>
                <w:rStyle w:val="Hyperlink"/>
                <w:noProof/>
              </w:rPr>
              <w:t>Key findings</w:t>
            </w:r>
            <w:r w:rsidR="002D3493">
              <w:rPr>
                <w:noProof/>
                <w:webHidden/>
              </w:rPr>
              <w:tab/>
            </w:r>
            <w:r w:rsidR="00BE5658">
              <w:rPr>
                <w:noProof/>
                <w:webHidden/>
              </w:rPr>
              <w:fldChar w:fldCharType="begin"/>
            </w:r>
            <w:r w:rsidR="002D3493">
              <w:rPr>
                <w:noProof/>
                <w:webHidden/>
              </w:rPr>
              <w:instrText xml:space="preserve"> PAGEREF _Toc394057563 \h </w:instrText>
            </w:r>
            <w:r w:rsidR="00BE5658">
              <w:rPr>
                <w:noProof/>
                <w:webHidden/>
              </w:rPr>
            </w:r>
            <w:r w:rsidR="00BE5658">
              <w:rPr>
                <w:noProof/>
                <w:webHidden/>
              </w:rPr>
              <w:fldChar w:fldCharType="separate"/>
            </w:r>
            <w:r w:rsidR="002D3493">
              <w:rPr>
                <w:noProof/>
                <w:webHidden/>
              </w:rPr>
              <w:t>77</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64" w:history="1">
            <w:r w:rsidR="002D3493" w:rsidRPr="00097AF1">
              <w:rPr>
                <w:rStyle w:val="Hyperlink"/>
                <w:noProof/>
              </w:rPr>
              <w:t>9.2</w:t>
            </w:r>
            <w:r w:rsidR="002D3493">
              <w:rPr>
                <w:rFonts w:eastAsiaTheme="minorEastAsia"/>
                <w:noProof/>
                <w:lang w:eastAsia="en-GB"/>
              </w:rPr>
              <w:tab/>
            </w:r>
            <w:r w:rsidR="002D3493" w:rsidRPr="00097AF1">
              <w:rPr>
                <w:rStyle w:val="Hyperlink"/>
                <w:noProof/>
              </w:rPr>
              <w:t>Introduction of energy efficient measures</w:t>
            </w:r>
            <w:r w:rsidR="002D3493">
              <w:rPr>
                <w:noProof/>
                <w:webHidden/>
              </w:rPr>
              <w:tab/>
            </w:r>
            <w:r w:rsidR="00BE5658">
              <w:rPr>
                <w:noProof/>
                <w:webHidden/>
              </w:rPr>
              <w:fldChar w:fldCharType="begin"/>
            </w:r>
            <w:r w:rsidR="002D3493">
              <w:rPr>
                <w:noProof/>
                <w:webHidden/>
              </w:rPr>
              <w:instrText xml:space="preserve"> PAGEREF _Toc394057564 \h </w:instrText>
            </w:r>
            <w:r w:rsidR="00BE5658">
              <w:rPr>
                <w:noProof/>
                <w:webHidden/>
              </w:rPr>
            </w:r>
            <w:r w:rsidR="00BE5658">
              <w:rPr>
                <w:noProof/>
                <w:webHidden/>
              </w:rPr>
              <w:fldChar w:fldCharType="separate"/>
            </w:r>
            <w:r w:rsidR="002D3493">
              <w:rPr>
                <w:noProof/>
                <w:webHidden/>
              </w:rPr>
              <w:t>77</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65" w:history="1">
            <w:r w:rsidR="002D3493" w:rsidRPr="00097AF1">
              <w:rPr>
                <w:rStyle w:val="Hyperlink"/>
                <w:noProof/>
              </w:rPr>
              <w:t>9.3</w:t>
            </w:r>
            <w:r w:rsidR="002D3493">
              <w:rPr>
                <w:rFonts w:eastAsiaTheme="minorEastAsia"/>
                <w:noProof/>
                <w:lang w:eastAsia="en-GB"/>
              </w:rPr>
              <w:tab/>
            </w:r>
            <w:r w:rsidR="002D3493" w:rsidRPr="00097AF1">
              <w:rPr>
                <w:rStyle w:val="Hyperlink"/>
                <w:noProof/>
              </w:rPr>
              <w:t>Steps taken by the business to reduce their impact on the environment</w:t>
            </w:r>
            <w:r w:rsidR="002D3493">
              <w:rPr>
                <w:noProof/>
                <w:webHidden/>
              </w:rPr>
              <w:tab/>
            </w:r>
            <w:r w:rsidR="00BE5658">
              <w:rPr>
                <w:noProof/>
                <w:webHidden/>
              </w:rPr>
              <w:fldChar w:fldCharType="begin"/>
            </w:r>
            <w:r w:rsidR="002D3493">
              <w:rPr>
                <w:noProof/>
                <w:webHidden/>
              </w:rPr>
              <w:instrText xml:space="preserve"> PAGEREF _Toc394057565 \h </w:instrText>
            </w:r>
            <w:r w:rsidR="00BE5658">
              <w:rPr>
                <w:noProof/>
                <w:webHidden/>
              </w:rPr>
            </w:r>
            <w:r w:rsidR="00BE5658">
              <w:rPr>
                <w:noProof/>
                <w:webHidden/>
              </w:rPr>
              <w:fldChar w:fldCharType="separate"/>
            </w:r>
            <w:r w:rsidR="002D3493">
              <w:rPr>
                <w:noProof/>
                <w:webHidden/>
              </w:rPr>
              <w:t>79</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66" w:history="1">
            <w:r w:rsidR="002D3493" w:rsidRPr="00097AF1">
              <w:rPr>
                <w:rStyle w:val="Hyperlink"/>
                <w:noProof/>
              </w:rPr>
              <w:t>9.4</w:t>
            </w:r>
            <w:r w:rsidR="002D3493">
              <w:rPr>
                <w:rFonts w:eastAsiaTheme="minorEastAsia"/>
                <w:noProof/>
                <w:lang w:eastAsia="en-GB"/>
              </w:rPr>
              <w:tab/>
            </w:r>
            <w:r w:rsidR="002D3493" w:rsidRPr="00097AF1">
              <w:rPr>
                <w:rStyle w:val="Hyperlink"/>
                <w:noProof/>
              </w:rPr>
              <w:t>Flood management</w:t>
            </w:r>
            <w:r w:rsidR="002D3493">
              <w:rPr>
                <w:noProof/>
                <w:webHidden/>
              </w:rPr>
              <w:tab/>
            </w:r>
            <w:r w:rsidR="00BE5658">
              <w:rPr>
                <w:noProof/>
                <w:webHidden/>
              </w:rPr>
              <w:fldChar w:fldCharType="begin"/>
            </w:r>
            <w:r w:rsidR="002D3493">
              <w:rPr>
                <w:noProof/>
                <w:webHidden/>
              </w:rPr>
              <w:instrText xml:space="preserve"> PAGEREF _Toc394057566 \h </w:instrText>
            </w:r>
            <w:r w:rsidR="00BE5658">
              <w:rPr>
                <w:noProof/>
                <w:webHidden/>
              </w:rPr>
            </w:r>
            <w:r w:rsidR="00BE5658">
              <w:rPr>
                <w:noProof/>
                <w:webHidden/>
              </w:rPr>
              <w:fldChar w:fldCharType="separate"/>
            </w:r>
            <w:r w:rsidR="002D3493">
              <w:rPr>
                <w:noProof/>
                <w:webHidden/>
              </w:rPr>
              <w:t>81</w:t>
            </w:r>
            <w:r w:rsidR="00BE5658">
              <w:rPr>
                <w:noProof/>
                <w:webHidden/>
              </w:rPr>
              <w:fldChar w:fldCharType="end"/>
            </w:r>
          </w:hyperlink>
        </w:p>
        <w:p w:rsidR="002D3493" w:rsidRDefault="00CE29CD">
          <w:pPr>
            <w:pStyle w:val="TOC1"/>
            <w:tabs>
              <w:tab w:val="left" w:pos="660"/>
              <w:tab w:val="right" w:leader="dot" w:pos="9017"/>
            </w:tabs>
            <w:rPr>
              <w:rFonts w:eastAsiaTheme="minorEastAsia"/>
              <w:noProof/>
              <w:lang w:eastAsia="en-GB"/>
            </w:rPr>
          </w:pPr>
          <w:hyperlink w:anchor="_Toc394057567" w:history="1">
            <w:r w:rsidR="002D3493" w:rsidRPr="00097AF1">
              <w:rPr>
                <w:rStyle w:val="Hyperlink"/>
                <w:noProof/>
              </w:rPr>
              <w:t>10</w:t>
            </w:r>
            <w:r w:rsidR="002D3493">
              <w:rPr>
                <w:rFonts w:eastAsiaTheme="minorEastAsia"/>
                <w:noProof/>
                <w:lang w:eastAsia="en-GB"/>
              </w:rPr>
              <w:tab/>
            </w:r>
            <w:r w:rsidR="002D3493" w:rsidRPr="00097AF1">
              <w:rPr>
                <w:rStyle w:val="Hyperlink"/>
                <w:noProof/>
              </w:rPr>
              <w:t>Focus on Priority and Emerging Sectors</w:t>
            </w:r>
            <w:r w:rsidR="002D3493">
              <w:rPr>
                <w:noProof/>
                <w:webHidden/>
              </w:rPr>
              <w:tab/>
            </w:r>
            <w:r w:rsidR="00BE5658">
              <w:rPr>
                <w:noProof/>
                <w:webHidden/>
              </w:rPr>
              <w:fldChar w:fldCharType="begin"/>
            </w:r>
            <w:r w:rsidR="002D3493">
              <w:rPr>
                <w:noProof/>
                <w:webHidden/>
              </w:rPr>
              <w:instrText xml:space="preserve"> PAGEREF _Toc394057567 \h </w:instrText>
            </w:r>
            <w:r w:rsidR="00BE5658">
              <w:rPr>
                <w:noProof/>
                <w:webHidden/>
              </w:rPr>
            </w:r>
            <w:r w:rsidR="00BE5658">
              <w:rPr>
                <w:noProof/>
                <w:webHidden/>
              </w:rPr>
              <w:fldChar w:fldCharType="separate"/>
            </w:r>
            <w:r w:rsidR="002D3493">
              <w:rPr>
                <w:noProof/>
                <w:webHidden/>
              </w:rPr>
              <w:t>83</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68" w:history="1">
            <w:r w:rsidR="002D3493" w:rsidRPr="00097AF1">
              <w:rPr>
                <w:rStyle w:val="Hyperlink"/>
                <w:noProof/>
              </w:rPr>
              <w:t>10.1</w:t>
            </w:r>
            <w:r w:rsidR="002D3493">
              <w:rPr>
                <w:rFonts w:eastAsiaTheme="minorEastAsia"/>
                <w:noProof/>
                <w:lang w:eastAsia="en-GB"/>
              </w:rPr>
              <w:tab/>
            </w:r>
            <w:r w:rsidR="002D3493" w:rsidRPr="00097AF1">
              <w:rPr>
                <w:rStyle w:val="Hyperlink"/>
                <w:noProof/>
              </w:rPr>
              <w:t>Description of priority and emerging sectors</w:t>
            </w:r>
            <w:r w:rsidR="002D3493">
              <w:rPr>
                <w:noProof/>
                <w:webHidden/>
              </w:rPr>
              <w:tab/>
            </w:r>
            <w:r w:rsidR="00BE5658">
              <w:rPr>
                <w:noProof/>
                <w:webHidden/>
              </w:rPr>
              <w:fldChar w:fldCharType="begin"/>
            </w:r>
            <w:r w:rsidR="002D3493">
              <w:rPr>
                <w:noProof/>
                <w:webHidden/>
              </w:rPr>
              <w:instrText xml:space="preserve"> PAGEREF _Toc394057568 \h </w:instrText>
            </w:r>
            <w:r w:rsidR="00BE5658">
              <w:rPr>
                <w:noProof/>
                <w:webHidden/>
              </w:rPr>
            </w:r>
            <w:r w:rsidR="00BE5658">
              <w:rPr>
                <w:noProof/>
                <w:webHidden/>
              </w:rPr>
              <w:fldChar w:fldCharType="separate"/>
            </w:r>
            <w:r w:rsidR="002D3493">
              <w:rPr>
                <w:noProof/>
                <w:webHidden/>
              </w:rPr>
              <w:t>83</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69" w:history="1">
            <w:r w:rsidR="002D3493" w:rsidRPr="00097AF1">
              <w:rPr>
                <w:rStyle w:val="Hyperlink"/>
                <w:noProof/>
              </w:rPr>
              <w:t>10.2</w:t>
            </w:r>
            <w:r w:rsidR="002D3493">
              <w:rPr>
                <w:rFonts w:eastAsiaTheme="minorEastAsia"/>
                <w:noProof/>
                <w:lang w:eastAsia="en-GB"/>
              </w:rPr>
              <w:tab/>
            </w:r>
            <w:r w:rsidR="002D3493" w:rsidRPr="00097AF1">
              <w:rPr>
                <w:rStyle w:val="Hyperlink"/>
                <w:noProof/>
              </w:rPr>
              <w:t>Profile</w:t>
            </w:r>
            <w:r w:rsidR="002D3493">
              <w:rPr>
                <w:noProof/>
                <w:webHidden/>
              </w:rPr>
              <w:tab/>
            </w:r>
            <w:r w:rsidR="00BE5658">
              <w:rPr>
                <w:noProof/>
                <w:webHidden/>
              </w:rPr>
              <w:fldChar w:fldCharType="begin"/>
            </w:r>
            <w:r w:rsidR="002D3493">
              <w:rPr>
                <w:noProof/>
                <w:webHidden/>
              </w:rPr>
              <w:instrText xml:space="preserve"> PAGEREF _Toc394057569 \h </w:instrText>
            </w:r>
            <w:r w:rsidR="00BE5658">
              <w:rPr>
                <w:noProof/>
                <w:webHidden/>
              </w:rPr>
            </w:r>
            <w:r w:rsidR="00BE5658">
              <w:rPr>
                <w:noProof/>
                <w:webHidden/>
              </w:rPr>
              <w:fldChar w:fldCharType="separate"/>
            </w:r>
            <w:r w:rsidR="002D3493">
              <w:rPr>
                <w:noProof/>
                <w:webHidden/>
              </w:rPr>
              <w:t>84</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0" w:history="1">
            <w:r w:rsidR="002D3493" w:rsidRPr="00097AF1">
              <w:rPr>
                <w:rStyle w:val="Hyperlink"/>
                <w:noProof/>
              </w:rPr>
              <w:t>10.3</w:t>
            </w:r>
            <w:r w:rsidR="002D3493">
              <w:rPr>
                <w:rFonts w:eastAsiaTheme="minorEastAsia"/>
                <w:noProof/>
                <w:lang w:eastAsia="en-GB"/>
              </w:rPr>
              <w:tab/>
            </w:r>
            <w:r w:rsidR="002D3493" w:rsidRPr="00097AF1">
              <w:rPr>
                <w:rStyle w:val="Hyperlink"/>
                <w:noProof/>
              </w:rPr>
              <w:t>Workforce change, skill needs and training</w:t>
            </w:r>
            <w:r w:rsidR="002D3493">
              <w:rPr>
                <w:noProof/>
                <w:webHidden/>
              </w:rPr>
              <w:tab/>
            </w:r>
            <w:r w:rsidR="00BE5658">
              <w:rPr>
                <w:noProof/>
                <w:webHidden/>
              </w:rPr>
              <w:fldChar w:fldCharType="begin"/>
            </w:r>
            <w:r w:rsidR="002D3493">
              <w:rPr>
                <w:noProof/>
                <w:webHidden/>
              </w:rPr>
              <w:instrText xml:space="preserve"> PAGEREF _Toc394057570 \h </w:instrText>
            </w:r>
            <w:r w:rsidR="00BE5658">
              <w:rPr>
                <w:noProof/>
                <w:webHidden/>
              </w:rPr>
            </w:r>
            <w:r w:rsidR="00BE5658">
              <w:rPr>
                <w:noProof/>
                <w:webHidden/>
              </w:rPr>
              <w:fldChar w:fldCharType="separate"/>
            </w:r>
            <w:r w:rsidR="002D3493">
              <w:rPr>
                <w:noProof/>
                <w:webHidden/>
              </w:rPr>
              <w:t>85</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1" w:history="1">
            <w:r w:rsidR="002D3493" w:rsidRPr="00097AF1">
              <w:rPr>
                <w:rStyle w:val="Hyperlink"/>
                <w:noProof/>
              </w:rPr>
              <w:t>10.4</w:t>
            </w:r>
            <w:r w:rsidR="002D3493">
              <w:rPr>
                <w:rFonts w:eastAsiaTheme="minorEastAsia"/>
                <w:noProof/>
                <w:lang w:eastAsia="en-GB"/>
              </w:rPr>
              <w:tab/>
            </w:r>
            <w:r w:rsidR="002D3493" w:rsidRPr="00097AF1">
              <w:rPr>
                <w:rStyle w:val="Hyperlink"/>
                <w:noProof/>
              </w:rPr>
              <w:t>Perceptions of Greater Lincolnshire</w:t>
            </w:r>
            <w:r w:rsidR="002D3493">
              <w:rPr>
                <w:noProof/>
                <w:webHidden/>
              </w:rPr>
              <w:tab/>
            </w:r>
            <w:r w:rsidR="00BE5658">
              <w:rPr>
                <w:noProof/>
                <w:webHidden/>
              </w:rPr>
              <w:fldChar w:fldCharType="begin"/>
            </w:r>
            <w:r w:rsidR="002D3493">
              <w:rPr>
                <w:noProof/>
                <w:webHidden/>
              </w:rPr>
              <w:instrText xml:space="preserve"> PAGEREF _Toc394057571 \h </w:instrText>
            </w:r>
            <w:r w:rsidR="00BE5658">
              <w:rPr>
                <w:noProof/>
                <w:webHidden/>
              </w:rPr>
            </w:r>
            <w:r w:rsidR="00BE5658">
              <w:rPr>
                <w:noProof/>
                <w:webHidden/>
              </w:rPr>
              <w:fldChar w:fldCharType="separate"/>
            </w:r>
            <w:r w:rsidR="002D3493">
              <w:rPr>
                <w:noProof/>
                <w:webHidden/>
              </w:rPr>
              <w:t>86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2" w:history="1">
            <w:r w:rsidR="002D3493" w:rsidRPr="00097AF1">
              <w:rPr>
                <w:rStyle w:val="Hyperlink"/>
                <w:noProof/>
              </w:rPr>
              <w:t>10.5</w:t>
            </w:r>
            <w:r w:rsidR="002D3493">
              <w:rPr>
                <w:rFonts w:eastAsiaTheme="minorEastAsia"/>
                <w:noProof/>
                <w:lang w:eastAsia="en-GB"/>
              </w:rPr>
              <w:tab/>
            </w:r>
            <w:r w:rsidR="002D3493" w:rsidRPr="00097AF1">
              <w:rPr>
                <w:rStyle w:val="Hyperlink"/>
                <w:noProof/>
              </w:rPr>
              <w:t>Growth factors</w:t>
            </w:r>
            <w:r w:rsidR="002D3493">
              <w:rPr>
                <w:noProof/>
                <w:webHidden/>
              </w:rPr>
              <w:tab/>
            </w:r>
            <w:r w:rsidR="00BE5658">
              <w:rPr>
                <w:noProof/>
                <w:webHidden/>
              </w:rPr>
              <w:fldChar w:fldCharType="begin"/>
            </w:r>
            <w:r w:rsidR="002D3493">
              <w:rPr>
                <w:noProof/>
                <w:webHidden/>
              </w:rPr>
              <w:instrText xml:space="preserve"> PAGEREF _Toc394057572 \h </w:instrText>
            </w:r>
            <w:r w:rsidR="00BE5658">
              <w:rPr>
                <w:noProof/>
                <w:webHidden/>
              </w:rPr>
            </w:r>
            <w:r w:rsidR="00BE5658">
              <w:rPr>
                <w:noProof/>
                <w:webHidden/>
              </w:rPr>
              <w:fldChar w:fldCharType="separate"/>
            </w:r>
            <w:r w:rsidR="002D3493">
              <w:rPr>
                <w:noProof/>
                <w:webHidden/>
              </w:rPr>
              <w:t>88</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3" w:history="1">
            <w:r w:rsidR="002D3493" w:rsidRPr="00097AF1">
              <w:rPr>
                <w:rStyle w:val="Hyperlink"/>
                <w:noProof/>
              </w:rPr>
              <w:t>10.6</w:t>
            </w:r>
            <w:r w:rsidR="002D3493">
              <w:rPr>
                <w:rFonts w:eastAsiaTheme="minorEastAsia"/>
                <w:noProof/>
                <w:lang w:eastAsia="en-GB"/>
              </w:rPr>
              <w:tab/>
            </w:r>
            <w:r w:rsidR="002D3493" w:rsidRPr="00097AF1">
              <w:rPr>
                <w:rStyle w:val="Hyperlink"/>
                <w:noProof/>
              </w:rPr>
              <w:t>Performance measures</w:t>
            </w:r>
            <w:r w:rsidR="002D3493">
              <w:rPr>
                <w:noProof/>
                <w:webHidden/>
              </w:rPr>
              <w:tab/>
            </w:r>
            <w:r w:rsidR="00BE5658">
              <w:rPr>
                <w:noProof/>
                <w:webHidden/>
              </w:rPr>
              <w:fldChar w:fldCharType="begin"/>
            </w:r>
            <w:r w:rsidR="002D3493">
              <w:rPr>
                <w:noProof/>
                <w:webHidden/>
              </w:rPr>
              <w:instrText xml:space="preserve"> PAGEREF _Toc394057573 \h </w:instrText>
            </w:r>
            <w:r w:rsidR="00BE5658">
              <w:rPr>
                <w:noProof/>
                <w:webHidden/>
              </w:rPr>
            </w:r>
            <w:r w:rsidR="00BE5658">
              <w:rPr>
                <w:noProof/>
                <w:webHidden/>
              </w:rPr>
              <w:fldChar w:fldCharType="separate"/>
            </w:r>
            <w:r w:rsidR="002D3493">
              <w:rPr>
                <w:noProof/>
                <w:webHidden/>
              </w:rPr>
              <w:t>90</w:t>
            </w:r>
            <w:r w:rsidR="00BE5658">
              <w:rPr>
                <w:noProof/>
                <w:webHidden/>
              </w:rPr>
              <w:fldChar w:fldCharType="end"/>
            </w:r>
          </w:hyperlink>
        </w:p>
        <w:p w:rsidR="002D3493" w:rsidRDefault="00CE29CD">
          <w:pPr>
            <w:pStyle w:val="TOC1"/>
            <w:tabs>
              <w:tab w:val="left" w:pos="660"/>
              <w:tab w:val="right" w:leader="dot" w:pos="9017"/>
            </w:tabs>
            <w:rPr>
              <w:rFonts w:eastAsiaTheme="minorEastAsia"/>
              <w:noProof/>
              <w:lang w:eastAsia="en-GB"/>
            </w:rPr>
          </w:pPr>
          <w:hyperlink w:anchor="_Toc394057574" w:history="1">
            <w:r w:rsidR="002D3493" w:rsidRPr="00097AF1">
              <w:rPr>
                <w:rStyle w:val="Hyperlink"/>
                <w:noProof/>
              </w:rPr>
              <w:t>11</w:t>
            </w:r>
            <w:r w:rsidR="002D3493">
              <w:rPr>
                <w:rFonts w:eastAsiaTheme="minorEastAsia"/>
                <w:noProof/>
                <w:lang w:eastAsia="en-GB"/>
              </w:rPr>
              <w:tab/>
            </w:r>
            <w:r w:rsidR="002D3493" w:rsidRPr="00097AF1">
              <w:rPr>
                <w:rStyle w:val="Hyperlink"/>
                <w:noProof/>
              </w:rPr>
              <w:t>Employer Profile</w:t>
            </w:r>
            <w:r w:rsidR="002D3493">
              <w:rPr>
                <w:noProof/>
                <w:webHidden/>
              </w:rPr>
              <w:tab/>
            </w:r>
            <w:r w:rsidR="00BE5658">
              <w:rPr>
                <w:noProof/>
                <w:webHidden/>
              </w:rPr>
              <w:fldChar w:fldCharType="begin"/>
            </w:r>
            <w:r w:rsidR="002D3493">
              <w:rPr>
                <w:noProof/>
                <w:webHidden/>
              </w:rPr>
              <w:instrText xml:space="preserve"> PAGEREF _Toc394057574 \h </w:instrText>
            </w:r>
            <w:r w:rsidR="00BE5658">
              <w:rPr>
                <w:noProof/>
                <w:webHidden/>
              </w:rPr>
            </w:r>
            <w:r w:rsidR="00BE5658">
              <w:rPr>
                <w:noProof/>
                <w:webHidden/>
              </w:rPr>
              <w:fldChar w:fldCharType="separate"/>
            </w:r>
            <w:r w:rsidR="002D3493">
              <w:rPr>
                <w:noProof/>
                <w:webHidden/>
              </w:rPr>
              <w:t>93</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5" w:history="1">
            <w:r w:rsidR="002D3493" w:rsidRPr="00097AF1">
              <w:rPr>
                <w:rStyle w:val="Hyperlink"/>
                <w:noProof/>
              </w:rPr>
              <w:t>11.1</w:t>
            </w:r>
            <w:r w:rsidR="002D3493">
              <w:rPr>
                <w:rFonts w:eastAsiaTheme="minorEastAsia"/>
                <w:noProof/>
                <w:lang w:eastAsia="en-GB"/>
              </w:rPr>
              <w:tab/>
            </w:r>
            <w:r w:rsidR="002D3493" w:rsidRPr="00097AF1">
              <w:rPr>
                <w:rStyle w:val="Hyperlink"/>
                <w:noProof/>
              </w:rPr>
              <w:t>Business size</w:t>
            </w:r>
            <w:r w:rsidR="002D3493">
              <w:rPr>
                <w:noProof/>
                <w:webHidden/>
              </w:rPr>
              <w:tab/>
            </w:r>
            <w:r w:rsidR="00BE5658">
              <w:rPr>
                <w:noProof/>
                <w:webHidden/>
              </w:rPr>
              <w:fldChar w:fldCharType="begin"/>
            </w:r>
            <w:r w:rsidR="002D3493">
              <w:rPr>
                <w:noProof/>
                <w:webHidden/>
              </w:rPr>
              <w:instrText xml:space="preserve"> PAGEREF _Toc394057575 \h </w:instrText>
            </w:r>
            <w:r w:rsidR="00BE5658">
              <w:rPr>
                <w:noProof/>
                <w:webHidden/>
              </w:rPr>
            </w:r>
            <w:r w:rsidR="00BE5658">
              <w:rPr>
                <w:noProof/>
                <w:webHidden/>
              </w:rPr>
              <w:fldChar w:fldCharType="separate"/>
            </w:r>
            <w:r w:rsidR="002D3493">
              <w:rPr>
                <w:noProof/>
                <w:webHidden/>
              </w:rPr>
              <w:t>93</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6" w:history="1">
            <w:r w:rsidR="002D3493" w:rsidRPr="00097AF1">
              <w:rPr>
                <w:rStyle w:val="Hyperlink"/>
                <w:noProof/>
              </w:rPr>
              <w:t>11.2</w:t>
            </w:r>
            <w:r w:rsidR="002D3493">
              <w:rPr>
                <w:rFonts w:eastAsiaTheme="minorEastAsia"/>
                <w:noProof/>
                <w:lang w:eastAsia="en-GB"/>
              </w:rPr>
              <w:tab/>
            </w:r>
            <w:r w:rsidR="002D3493" w:rsidRPr="00097AF1">
              <w:rPr>
                <w:rStyle w:val="Hyperlink"/>
                <w:noProof/>
              </w:rPr>
              <w:t>Industry sector</w:t>
            </w:r>
            <w:r w:rsidR="002D3493">
              <w:rPr>
                <w:noProof/>
                <w:webHidden/>
              </w:rPr>
              <w:tab/>
            </w:r>
            <w:r w:rsidR="00BE5658">
              <w:rPr>
                <w:noProof/>
                <w:webHidden/>
              </w:rPr>
              <w:fldChar w:fldCharType="begin"/>
            </w:r>
            <w:r w:rsidR="002D3493">
              <w:rPr>
                <w:noProof/>
                <w:webHidden/>
              </w:rPr>
              <w:instrText xml:space="preserve"> PAGEREF _Toc394057576 \h </w:instrText>
            </w:r>
            <w:r w:rsidR="00BE5658">
              <w:rPr>
                <w:noProof/>
                <w:webHidden/>
              </w:rPr>
            </w:r>
            <w:r w:rsidR="00BE5658">
              <w:rPr>
                <w:noProof/>
                <w:webHidden/>
              </w:rPr>
              <w:fldChar w:fldCharType="separate"/>
            </w:r>
            <w:r w:rsidR="002D3493">
              <w:rPr>
                <w:noProof/>
                <w:webHidden/>
              </w:rPr>
              <w:t>94</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7" w:history="1">
            <w:r w:rsidR="002D3493" w:rsidRPr="00097AF1">
              <w:rPr>
                <w:rStyle w:val="Hyperlink"/>
                <w:noProof/>
              </w:rPr>
              <w:t>11.3</w:t>
            </w:r>
            <w:r w:rsidR="002D3493">
              <w:rPr>
                <w:rFonts w:eastAsiaTheme="minorEastAsia"/>
                <w:noProof/>
                <w:lang w:eastAsia="en-GB"/>
              </w:rPr>
              <w:tab/>
            </w:r>
            <w:r w:rsidR="002D3493" w:rsidRPr="00097AF1">
              <w:rPr>
                <w:rStyle w:val="Hyperlink"/>
                <w:noProof/>
              </w:rPr>
              <w:t>Number of sites</w:t>
            </w:r>
            <w:r w:rsidR="002D3493">
              <w:rPr>
                <w:noProof/>
                <w:webHidden/>
              </w:rPr>
              <w:tab/>
            </w:r>
            <w:r w:rsidR="00BE5658">
              <w:rPr>
                <w:noProof/>
                <w:webHidden/>
              </w:rPr>
              <w:fldChar w:fldCharType="begin"/>
            </w:r>
            <w:r w:rsidR="002D3493">
              <w:rPr>
                <w:noProof/>
                <w:webHidden/>
              </w:rPr>
              <w:instrText xml:space="preserve"> PAGEREF _Toc394057577 \h </w:instrText>
            </w:r>
            <w:r w:rsidR="00BE5658">
              <w:rPr>
                <w:noProof/>
                <w:webHidden/>
              </w:rPr>
            </w:r>
            <w:r w:rsidR="00BE5658">
              <w:rPr>
                <w:noProof/>
                <w:webHidden/>
              </w:rPr>
              <w:fldChar w:fldCharType="separate"/>
            </w:r>
            <w:r w:rsidR="002D3493">
              <w:rPr>
                <w:noProof/>
                <w:webHidden/>
              </w:rPr>
              <w:t>95</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8" w:history="1">
            <w:r w:rsidR="002D3493" w:rsidRPr="00097AF1">
              <w:rPr>
                <w:rStyle w:val="Hyperlink"/>
                <w:noProof/>
              </w:rPr>
              <w:t>11.4</w:t>
            </w:r>
            <w:r w:rsidR="002D3493">
              <w:rPr>
                <w:rFonts w:eastAsiaTheme="minorEastAsia"/>
                <w:noProof/>
                <w:lang w:eastAsia="en-GB"/>
              </w:rPr>
              <w:tab/>
            </w:r>
            <w:r w:rsidR="002D3493" w:rsidRPr="00097AF1">
              <w:rPr>
                <w:rStyle w:val="Hyperlink"/>
                <w:noProof/>
              </w:rPr>
              <w:t>Age of establishment</w:t>
            </w:r>
            <w:r w:rsidR="002D3493">
              <w:rPr>
                <w:noProof/>
                <w:webHidden/>
              </w:rPr>
              <w:tab/>
            </w:r>
            <w:r w:rsidR="00BE5658">
              <w:rPr>
                <w:noProof/>
                <w:webHidden/>
              </w:rPr>
              <w:fldChar w:fldCharType="begin"/>
            </w:r>
            <w:r w:rsidR="002D3493">
              <w:rPr>
                <w:noProof/>
                <w:webHidden/>
              </w:rPr>
              <w:instrText xml:space="preserve"> PAGEREF _Toc394057578 \h </w:instrText>
            </w:r>
            <w:r w:rsidR="00BE5658">
              <w:rPr>
                <w:noProof/>
                <w:webHidden/>
              </w:rPr>
            </w:r>
            <w:r w:rsidR="00BE5658">
              <w:rPr>
                <w:noProof/>
                <w:webHidden/>
              </w:rPr>
              <w:fldChar w:fldCharType="separate"/>
            </w:r>
            <w:r w:rsidR="002D3493">
              <w:rPr>
                <w:noProof/>
                <w:webHidden/>
              </w:rPr>
              <w:t>96</w:t>
            </w:r>
            <w:r w:rsidR="00BE5658">
              <w:rPr>
                <w:noProof/>
                <w:webHidden/>
              </w:rPr>
              <w:fldChar w:fldCharType="end"/>
            </w:r>
          </w:hyperlink>
        </w:p>
        <w:p w:rsidR="002D3493" w:rsidRDefault="00CE29CD">
          <w:pPr>
            <w:pStyle w:val="TOC2"/>
            <w:tabs>
              <w:tab w:val="left" w:pos="880"/>
              <w:tab w:val="right" w:leader="dot" w:pos="9017"/>
            </w:tabs>
            <w:rPr>
              <w:rFonts w:eastAsiaTheme="minorEastAsia"/>
              <w:noProof/>
              <w:lang w:eastAsia="en-GB"/>
            </w:rPr>
          </w:pPr>
          <w:hyperlink w:anchor="_Toc394057579" w:history="1">
            <w:r w:rsidR="002D3493" w:rsidRPr="00097AF1">
              <w:rPr>
                <w:rStyle w:val="Hyperlink"/>
                <w:noProof/>
              </w:rPr>
              <w:t>11.5</w:t>
            </w:r>
            <w:r w:rsidR="002D3493">
              <w:rPr>
                <w:rFonts w:eastAsiaTheme="minorEastAsia"/>
                <w:noProof/>
                <w:lang w:eastAsia="en-GB"/>
              </w:rPr>
              <w:tab/>
            </w:r>
            <w:r w:rsidR="002D3493" w:rsidRPr="00097AF1">
              <w:rPr>
                <w:rStyle w:val="Hyperlink"/>
                <w:noProof/>
              </w:rPr>
              <w:t>Turnover</w:t>
            </w:r>
            <w:r w:rsidR="002D3493">
              <w:rPr>
                <w:noProof/>
                <w:webHidden/>
              </w:rPr>
              <w:tab/>
            </w:r>
            <w:r w:rsidR="00BE5658">
              <w:rPr>
                <w:noProof/>
                <w:webHidden/>
              </w:rPr>
              <w:fldChar w:fldCharType="begin"/>
            </w:r>
            <w:r w:rsidR="002D3493">
              <w:rPr>
                <w:noProof/>
                <w:webHidden/>
              </w:rPr>
              <w:instrText xml:space="preserve"> PAGEREF _Toc394057579 \h </w:instrText>
            </w:r>
            <w:r w:rsidR="00BE5658">
              <w:rPr>
                <w:noProof/>
                <w:webHidden/>
              </w:rPr>
            </w:r>
            <w:r w:rsidR="00BE5658">
              <w:rPr>
                <w:noProof/>
                <w:webHidden/>
              </w:rPr>
              <w:fldChar w:fldCharType="separate"/>
            </w:r>
            <w:r w:rsidR="002D3493">
              <w:rPr>
                <w:noProof/>
                <w:webHidden/>
              </w:rPr>
              <w:t>97</w:t>
            </w:r>
            <w:r w:rsidR="00BE5658">
              <w:rPr>
                <w:noProof/>
                <w:webHidden/>
              </w:rPr>
              <w:fldChar w:fldCharType="end"/>
            </w:r>
          </w:hyperlink>
        </w:p>
        <w:p w:rsidR="002D3493" w:rsidRDefault="00CE29CD">
          <w:pPr>
            <w:pStyle w:val="TOC1"/>
            <w:tabs>
              <w:tab w:val="right" w:leader="dot" w:pos="9017"/>
            </w:tabs>
            <w:rPr>
              <w:rFonts w:eastAsiaTheme="minorEastAsia"/>
              <w:noProof/>
              <w:lang w:eastAsia="en-GB"/>
            </w:rPr>
          </w:pPr>
          <w:hyperlink w:anchor="_Toc394057580" w:history="1">
            <w:r w:rsidR="002D3493" w:rsidRPr="00097AF1">
              <w:rPr>
                <w:rStyle w:val="Hyperlink"/>
                <w:noProof/>
              </w:rPr>
              <w:t>Appendix: Statement of Terms</w:t>
            </w:r>
            <w:r w:rsidR="002D3493">
              <w:rPr>
                <w:noProof/>
                <w:webHidden/>
              </w:rPr>
              <w:tab/>
            </w:r>
            <w:r w:rsidR="00BE5658">
              <w:rPr>
                <w:noProof/>
                <w:webHidden/>
              </w:rPr>
              <w:fldChar w:fldCharType="begin"/>
            </w:r>
            <w:r w:rsidR="002D3493">
              <w:rPr>
                <w:noProof/>
                <w:webHidden/>
              </w:rPr>
              <w:instrText xml:space="preserve"> PAGEREF _Toc394057580 \h </w:instrText>
            </w:r>
            <w:r w:rsidR="00BE5658">
              <w:rPr>
                <w:noProof/>
                <w:webHidden/>
              </w:rPr>
            </w:r>
            <w:r w:rsidR="00BE5658">
              <w:rPr>
                <w:noProof/>
                <w:webHidden/>
              </w:rPr>
              <w:fldChar w:fldCharType="separate"/>
            </w:r>
            <w:r w:rsidR="002D3493">
              <w:rPr>
                <w:noProof/>
                <w:webHidden/>
              </w:rPr>
              <w:t>99</w:t>
            </w:r>
            <w:r w:rsidR="00BE5658">
              <w:rPr>
                <w:noProof/>
                <w:webHidden/>
              </w:rPr>
              <w:fldChar w:fldCharType="end"/>
            </w:r>
          </w:hyperlink>
        </w:p>
        <w:p w:rsidR="001E2001" w:rsidRDefault="00BE5658">
          <w:r>
            <w:fldChar w:fldCharType="end"/>
          </w:r>
        </w:p>
      </w:sdtContent>
    </w:sdt>
    <w:p w:rsidR="00270C14" w:rsidRDefault="00270C14" w:rsidP="00F9622A">
      <w:pPr>
        <w:pStyle w:val="Heading1"/>
        <w:rPr>
          <w:rFonts w:eastAsia="Times New Roman"/>
        </w:rPr>
        <w:sectPr w:rsidR="00270C14" w:rsidSect="00270C14">
          <w:headerReference w:type="even" r:id="rId14"/>
          <w:headerReference w:type="default" r:id="rId15"/>
          <w:footerReference w:type="even" r:id="rId16"/>
          <w:footerReference w:type="default" r:id="rId17"/>
          <w:pgSz w:w="11907" w:h="16839" w:code="9"/>
          <w:pgMar w:top="1440" w:right="1440" w:bottom="1440" w:left="1440" w:header="708" w:footer="708" w:gutter="0"/>
          <w:pgNumType w:start="1"/>
          <w:cols w:space="708"/>
          <w:docGrid w:linePitch="360"/>
        </w:sectPr>
      </w:pPr>
    </w:p>
    <w:p w:rsidR="00F9622A" w:rsidRDefault="00270C14" w:rsidP="00F9622A">
      <w:pPr>
        <w:pStyle w:val="Heading1"/>
        <w:rPr>
          <w:rFonts w:eastAsia="Times New Roman"/>
        </w:rPr>
      </w:pPr>
      <w:bookmarkStart w:id="1" w:name="_Toc394057494"/>
      <w:r>
        <w:rPr>
          <w:rFonts w:eastAsia="Times New Roman"/>
        </w:rPr>
        <w:lastRenderedPageBreak/>
        <w:t>E</w:t>
      </w:r>
      <w:r w:rsidR="00E1514D">
        <w:rPr>
          <w:rFonts w:eastAsia="Times New Roman"/>
        </w:rPr>
        <w:t>xecutive Summary</w:t>
      </w:r>
      <w:bookmarkEnd w:id="1"/>
    </w:p>
    <w:p w:rsidR="00E1514D" w:rsidRDefault="00E1514D" w:rsidP="00E1514D">
      <w:pPr>
        <w:pStyle w:val="BodyText"/>
      </w:pPr>
    </w:p>
    <w:p w:rsidR="001018F5" w:rsidRDefault="001018F5" w:rsidP="001018F5">
      <w:r>
        <w:t xml:space="preserve">The 2014 Greater Lincolnshire Employer Survey was commissioned in March 2014 by the Greater Lincolnshire Local Enterprise Partnership (GLLEP), Lincolnshire County Council and the Lincolnshire and Rutland Employment and Skills Board.   </w:t>
      </w:r>
      <w:r w:rsidRPr="00FC55A9">
        <w:t xml:space="preserve"> </w:t>
      </w:r>
    </w:p>
    <w:p w:rsidR="001018F5" w:rsidRDefault="001018F5" w:rsidP="001018F5">
      <w:r>
        <w:t>The aim of the survey was to collect robust, timely and reliable data on business performance, exporting, investment, business support, finance, employment and skills, innovation and research and development.  The survey also covered issues relating to life in Lincolnshire and environmental factors.</w:t>
      </w:r>
    </w:p>
    <w:p w:rsidR="001018F5" w:rsidRDefault="001018F5" w:rsidP="001018F5">
      <w:r>
        <w:t xml:space="preserve">Telephone interviews were conducted with 1,515 employers in the Greater Lincolnshire area in April and May 2014.   The survey included both private and public sector organisations and data reported relates to the business site at which the respondent was based. </w:t>
      </w:r>
    </w:p>
    <w:p w:rsidR="00651896" w:rsidRDefault="00651896" w:rsidP="00651896">
      <w:pPr>
        <w:pStyle w:val="Heading2"/>
      </w:pPr>
      <w:bookmarkStart w:id="2" w:name="_Toc394057495"/>
      <w:r>
        <w:t>Life in Greater Lincolnshire</w:t>
      </w:r>
      <w:bookmarkEnd w:id="2"/>
    </w:p>
    <w:p w:rsidR="005470ED" w:rsidRDefault="005470ED" w:rsidP="001018F5">
      <w:pPr>
        <w:pStyle w:val="BodyText"/>
      </w:pPr>
      <w:r>
        <w:t xml:space="preserve">Districts within Greater Lincolnshire with the highest concentrations of employers (with at least one employee) include East Lindsey (16%); North Lincolnshire (15%), South Kesteven (14%) and North East Lincolnshire (14%).  Both North Lincolnshire and North East Lincolnshire are outside the county boundary.  </w:t>
      </w:r>
    </w:p>
    <w:p w:rsidR="001018F5" w:rsidRDefault="005470ED" w:rsidP="001018F5">
      <w:pPr>
        <w:pStyle w:val="BodyText"/>
      </w:pPr>
      <w:r>
        <w:t>The majority of employers (93%) have always been located in Greater Lincolnshire and two-thirds of employers (66%) have been trading within the area for more than 10 years.</w:t>
      </w:r>
    </w:p>
    <w:p w:rsidR="005470ED" w:rsidRDefault="005470ED" w:rsidP="005470ED">
      <w:pPr>
        <w:pStyle w:val="BodyText"/>
      </w:pPr>
      <w:r>
        <w:t>Employers that have moved into the area are more likely to cite finding bigger, better or cheaper premises as a reason for moving into Greater Lincolnshire than the attractions of the area itself.  Access to markets and a pool of skilled labour also feature prominently, as do family reasons/lifestyle choices.</w:t>
      </w:r>
    </w:p>
    <w:p w:rsidR="005470ED" w:rsidRDefault="005470ED" w:rsidP="005470ED">
      <w:pPr>
        <w:pStyle w:val="BodyText"/>
      </w:pPr>
      <w:r>
        <w:t>One in eight employers (13%) is considering relocating their business in the next 2 years, with just 2% considering locating outside of the area.</w:t>
      </w:r>
    </w:p>
    <w:p w:rsidR="005470ED" w:rsidRDefault="005470ED" w:rsidP="005470ED">
      <w:pPr>
        <w:pStyle w:val="BodyText"/>
      </w:pPr>
      <w:r>
        <w:t xml:space="preserve">Again, finding bigger, better or cheaper premises is a primary motivator for moving.  </w:t>
      </w:r>
    </w:p>
    <w:p w:rsidR="005470ED" w:rsidRDefault="005470ED" w:rsidP="005470ED">
      <w:pPr>
        <w:pStyle w:val="BodyText"/>
      </w:pPr>
      <w:r>
        <w:t>In terms of perceptions of Greater Lincolnshire as a place to do business, it is highest rated in terms of access to customers and aspects of living in the area, including the range of housing and strong communities.  It is rated lowest for its transport infrastructure and its image as seen by external suppliers and customers and with regard to attracting people to move to the area to work.</w:t>
      </w:r>
    </w:p>
    <w:p w:rsidR="005470ED" w:rsidRDefault="005470ED" w:rsidP="005470ED">
      <w:pPr>
        <w:pStyle w:val="BodyText"/>
      </w:pPr>
      <w:r>
        <w:t xml:space="preserve">The proportions of employers (based on where provided a rating) </w:t>
      </w:r>
      <w:r w:rsidR="00785BD1">
        <w:t>scoring Greater Lincolnshire at 8 or above for</w:t>
      </w:r>
      <w:r>
        <w:t xml:space="preserve"> aspects of the area as a place to do business are: </w:t>
      </w:r>
    </w:p>
    <w:p w:rsidR="00785BD1" w:rsidRDefault="00785BD1" w:rsidP="00785BD1">
      <w:pPr>
        <w:pStyle w:val="ListParagraph"/>
      </w:pPr>
      <w:r>
        <w:t>Access to customers</w:t>
      </w:r>
      <w:r>
        <w:tab/>
      </w:r>
      <w:r>
        <w:tab/>
      </w:r>
      <w:r>
        <w:tab/>
      </w:r>
      <w:r>
        <w:tab/>
        <w:t>50%</w:t>
      </w:r>
    </w:p>
    <w:p w:rsidR="00785BD1" w:rsidRDefault="00785BD1" w:rsidP="00785BD1">
      <w:pPr>
        <w:pStyle w:val="ListParagraph"/>
      </w:pPr>
      <w:r>
        <w:t>Wide range of housing</w:t>
      </w:r>
      <w:r>
        <w:tab/>
      </w:r>
      <w:r>
        <w:tab/>
      </w:r>
      <w:r>
        <w:tab/>
      </w:r>
      <w:r>
        <w:tab/>
        <w:t>49%</w:t>
      </w:r>
    </w:p>
    <w:p w:rsidR="00785BD1" w:rsidRDefault="00785BD1" w:rsidP="00785BD1">
      <w:pPr>
        <w:pStyle w:val="ListParagraph"/>
      </w:pPr>
      <w:r>
        <w:t>Strong communities</w:t>
      </w:r>
      <w:r>
        <w:tab/>
      </w:r>
      <w:r>
        <w:tab/>
      </w:r>
      <w:r>
        <w:tab/>
      </w:r>
      <w:r>
        <w:tab/>
        <w:t>48%</w:t>
      </w:r>
    </w:p>
    <w:p w:rsidR="00785BD1" w:rsidRDefault="00785BD1" w:rsidP="00785BD1">
      <w:pPr>
        <w:pStyle w:val="ListParagraph"/>
      </w:pPr>
      <w:r>
        <w:t>Access to suppliers</w:t>
      </w:r>
      <w:r>
        <w:tab/>
      </w:r>
      <w:r>
        <w:tab/>
      </w:r>
      <w:r>
        <w:tab/>
      </w:r>
      <w:r>
        <w:tab/>
        <w:t>45%</w:t>
      </w:r>
    </w:p>
    <w:p w:rsidR="00785BD1" w:rsidRDefault="00785BD1" w:rsidP="00785BD1">
      <w:pPr>
        <w:pStyle w:val="ListParagraph"/>
      </w:pPr>
      <w:r>
        <w:t>A place my business can grow</w:t>
      </w:r>
      <w:r>
        <w:tab/>
      </w:r>
      <w:r>
        <w:tab/>
      </w:r>
      <w:r>
        <w:tab/>
        <w:t>43%</w:t>
      </w:r>
    </w:p>
    <w:p w:rsidR="00785BD1" w:rsidRDefault="00785BD1" w:rsidP="00785BD1">
      <w:pPr>
        <w:pStyle w:val="ListParagraph"/>
      </w:pPr>
      <w:r>
        <w:t>Cost of premises/rents/business rates</w:t>
      </w:r>
      <w:r>
        <w:tab/>
      </w:r>
      <w:r>
        <w:tab/>
        <w:t>36%</w:t>
      </w:r>
    </w:p>
    <w:p w:rsidR="00785BD1" w:rsidRDefault="00785BD1" w:rsidP="00785BD1">
      <w:pPr>
        <w:pStyle w:val="ListParagraph"/>
      </w:pPr>
      <w:r>
        <w:t>Availability of skilled staff</w:t>
      </w:r>
      <w:r>
        <w:tab/>
      </w:r>
      <w:r>
        <w:tab/>
      </w:r>
      <w:r>
        <w:tab/>
      </w:r>
      <w:r>
        <w:tab/>
        <w:t>35%</w:t>
      </w:r>
    </w:p>
    <w:p w:rsidR="00785BD1" w:rsidRDefault="00785BD1" w:rsidP="00785BD1">
      <w:pPr>
        <w:pStyle w:val="ListParagraph"/>
      </w:pPr>
      <w:r>
        <w:lastRenderedPageBreak/>
        <w:t xml:space="preserve">Range of retail and leisure facilities </w:t>
      </w:r>
      <w:r>
        <w:tab/>
      </w:r>
      <w:r>
        <w:tab/>
      </w:r>
      <w:r>
        <w:tab/>
        <w:t>28%</w:t>
      </w:r>
    </w:p>
    <w:p w:rsidR="00785BD1" w:rsidRDefault="00785BD1" w:rsidP="00785BD1">
      <w:pPr>
        <w:pStyle w:val="ListParagraph"/>
      </w:pPr>
      <w:r>
        <w:t>Support is available for businesses to grow</w:t>
      </w:r>
      <w:r>
        <w:tab/>
      </w:r>
      <w:r>
        <w:tab/>
        <w:t>28%</w:t>
      </w:r>
    </w:p>
    <w:p w:rsidR="00785BD1" w:rsidRDefault="00785BD1" w:rsidP="00785BD1">
      <w:pPr>
        <w:pStyle w:val="ListParagraph"/>
      </w:pPr>
      <w:r>
        <w:t xml:space="preserve">Image of Greater Lincolnshire as seen by </w:t>
      </w:r>
      <w:r>
        <w:tab/>
      </w:r>
      <w:r>
        <w:tab/>
        <w:t>27%</w:t>
      </w:r>
      <w:r>
        <w:tab/>
      </w:r>
      <w:r>
        <w:tab/>
      </w:r>
      <w:r>
        <w:tab/>
      </w:r>
      <w:r>
        <w:tab/>
      </w:r>
      <w:r>
        <w:tab/>
      </w:r>
      <w:r>
        <w:tab/>
        <w:t>external suppliers and customers</w:t>
      </w:r>
    </w:p>
    <w:p w:rsidR="00785BD1" w:rsidRDefault="00785BD1" w:rsidP="00785BD1">
      <w:pPr>
        <w:pStyle w:val="ListParagraph"/>
      </w:pPr>
      <w:r>
        <w:t>The profile of the county in terms of attracting</w:t>
      </w:r>
      <w:r>
        <w:tab/>
      </w:r>
      <w:r>
        <w:tab/>
        <w:t>23%</w:t>
      </w:r>
      <w:r>
        <w:tab/>
      </w:r>
      <w:r>
        <w:tab/>
      </w:r>
      <w:r>
        <w:tab/>
      </w:r>
      <w:r>
        <w:tab/>
      </w:r>
      <w:r>
        <w:tab/>
      </w:r>
      <w:r>
        <w:tab/>
        <w:t>people to move here to work</w:t>
      </w:r>
    </w:p>
    <w:p w:rsidR="00785BD1" w:rsidRDefault="00785BD1" w:rsidP="00785BD1">
      <w:pPr>
        <w:pStyle w:val="ListParagraph"/>
      </w:pPr>
      <w:r>
        <w:t>Transport infrastructure</w:t>
      </w:r>
      <w:r>
        <w:tab/>
      </w:r>
      <w:r>
        <w:tab/>
      </w:r>
      <w:r>
        <w:tab/>
      </w:r>
      <w:r>
        <w:tab/>
      </w:r>
      <w:r>
        <w:tab/>
        <w:t>21%.</w:t>
      </w:r>
    </w:p>
    <w:p w:rsidR="00785BD1" w:rsidRDefault="00B853DD" w:rsidP="005470ED">
      <w:pPr>
        <w:pStyle w:val="BodyText"/>
      </w:pPr>
      <w:r>
        <w:t xml:space="preserve">An area of </w:t>
      </w:r>
      <w:r w:rsidR="00B7244F">
        <w:t xml:space="preserve">particular </w:t>
      </w:r>
      <w:r>
        <w:t>concern is that of transport infrastructure, which is rated at less than 5 by 38% of employers that provided a rating.  This receives higher than average ratings by employers in North East and North Lincolnshire but is rated particularly poorly by employers based in East Lindsey and Boston.</w:t>
      </w:r>
      <w:r w:rsidR="00B7244F">
        <w:t xml:space="preserve">  Employers in these two districts are also less likely than average to be satisfied with the range of housing and retail/leisure facilities and access to customers, suppliers and skilled staff.</w:t>
      </w:r>
    </w:p>
    <w:p w:rsidR="005470ED" w:rsidRDefault="005470ED" w:rsidP="005470ED">
      <w:pPr>
        <w:pStyle w:val="BodyText"/>
      </w:pPr>
      <w:r>
        <w:t>One in four employers (25%) has a home working policy which allows and encourages staff to work at home.</w:t>
      </w:r>
      <w:r w:rsidR="00945550">
        <w:t xml:space="preserve">  This proportion increases to 34% of 100+ employers and </w:t>
      </w:r>
      <w:r w:rsidR="00511879">
        <w:t>37% of employers in the banking, finance and insurance sector.</w:t>
      </w:r>
    </w:p>
    <w:p w:rsidR="00651896" w:rsidRDefault="00651896" w:rsidP="00651896">
      <w:pPr>
        <w:pStyle w:val="Heading2"/>
      </w:pPr>
      <w:bookmarkStart w:id="3" w:name="_Toc394057496"/>
      <w:r>
        <w:t>Markets and Trading</w:t>
      </w:r>
      <w:bookmarkEnd w:id="3"/>
      <w:r>
        <w:t xml:space="preserve"> </w:t>
      </w:r>
    </w:p>
    <w:p w:rsidR="001854CA" w:rsidRDefault="001854CA" w:rsidP="001854CA">
      <w:pPr>
        <w:pStyle w:val="BodyText"/>
      </w:pPr>
      <w:r>
        <w:t>Three-quarters of employers use suppliers based in Greater Lincolnshire (74%).   Some 23% obtain all their supplies locally.</w:t>
      </w:r>
    </w:p>
    <w:p w:rsidR="001854CA" w:rsidRDefault="001854CA" w:rsidP="001854CA">
      <w:pPr>
        <w:pStyle w:val="BodyText"/>
      </w:pPr>
      <w:r>
        <w:t>Employers estimate that 57% of supplies, on average, are sourced within Greater Lincolnshire.  Employers within the public administration/education/health and agriculture/fishing sectors are particularly likely to rely on the local market for supplies (mean</w:t>
      </w:r>
      <w:r w:rsidR="009D2488">
        <w:t>s</w:t>
      </w:r>
      <w:r>
        <w:t xml:space="preserve"> of 75% and 72% respectively).</w:t>
      </w:r>
    </w:p>
    <w:p w:rsidR="001854CA" w:rsidRDefault="001854CA" w:rsidP="001854CA">
      <w:pPr>
        <w:pStyle w:val="BodyText"/>
      </w:pPr>
      <w:r>
        <w:t>Where employers do not use local suppliers, it is mainly because the products or services are not available (to their knowledge) in the area</w:t>
      </w:r>
      <w:r w:rsidR="009D2488">
        <w:t xml:space="preserve"> (69% of those that do not use local suppliers).  The proportion is particularly high amongst manufacturers (83%) and within the district of South Kesteven (77%)</w:t>
      </w:r>
      <w:r>
        <w:t>.</w:t>
      </w:r>
    </w:p>
    <w:p w:rsidR="009D2488" w:rsidRDefault="00F777F3" w:rsidP="001854CA">
      <w:pPr>
        <w:pStyle w:val="BodyText"/>
      </w:pPr>
      <w:r>
        <w:t>Too high a cost</w:t>
      </w:r>
      <w:r w:rsidR="009D2488">
        <w:t xml:space="preserve"> is </w:t>
      </w:r>
      <w:r w:rsidR="001D24B8">
        <w:t xml:space="preserve">the </w:t>
      </w:r>
      <w:r w:rsidR="009D2488">
        <w:t xml:space="preserve">second most frequently mentioned </w:t>
      </w:r>
      <w:r w:rsidR="001D24B8">
        <w:t xml:space="preserve">reason for not sourcing supplies locally (14% </w:t>
      </w:r>
      <w:r w:rsidR="009D2488">
        <w:t>of those that do not</w:t>
      </w:r>
      <w:r>
        <w:t xml:space="preserve"> source supplies locally</w:t>
      </w:r>
      <w:r w:rsidR="001D24B8">
        <w:t>)</w:t>
      </w:r>
      <w:r>
        <w:t>.</w:t>
      </w:r>
    </w:p>
    <w:p w:rsidR="001854CA" w:rsidRDefault="001854CA" w:rsidP="001854CA">
      <w:pPr>
        <w:pStyle w:val="BodyText"/>
      </w:pPr>
      <w:r>
        <w:t>One in eight private sector employers (13%) exports any of their products or services.  This increases to 35% of manufacturers and 30% of employers with 100 or more employees at their site.</w:t>
      </w:r>
      <w:r w:rsidR="001D24B8">
        <w:t xml:space="preserve">  </w:t>
      </w:r>
    </w:p>
    <w:p w:rsidR="001854CA" w:rsidRDefault="001854CA" w:rsidP="001854CA">
      <w:pPr>
        <w:pStyle w:val="BodyText"/>
      </w:pPr>
      <w:r>
        <w:t>More than half the exporters (55%) anticipate an increase in their level of exports in the next 12 months.  This increases to 67% of exporting manufacturers</w:t>
      </w:r>
      <w:r w:rsidR="001D24B8">
        <w:t xml:space="preserve"> and 66% of employers that export in transport/communications.  </w:t>
      </w:r>
    </w:p>
    <w:p w:rsidR="001854CA" w:rsidRDefault="001854CA" w:rsidP="001854CA">
      <w:pPr>
        <w:pStyle w:val="BodyText"/>
      </w:pPr>
      <w:r>
        <w:t>The majority of employers anticipating an increase in their exports expect that increase to come from both existing markets and new ones</w:t>
      </w:r>
      <w:r w:rsidR="00013137">
        <w:t xml:space="preserve"> (71%).   </w:t>
      </w:r>
      <w:r>
        <w:t xml:space="preserve">  </w:t>
      </w:r>
    </w:p>
    <w:p w:rsidR="001854CA" w:rsidRDefault="001854CA" w:rsidP="001854CA">
      <w:pPr>
        <w:pStyle w:val="BodyText"/>
      </w:pPr>
      <w:r>
        <w:t>Just 3% of non-exporting employers plan to begin exporting in the next 12 months.</w:t>
      </w:r>
    </w:p>
    <w:p w:rsidR="001854CA" w:rsidRDefault="001854CA" w:rsidP="001854CA">
      <w:pPr>
        <w:pStyle w:val="BodyText"/>
      </w:pPr>
      <w:r>
        <w:t>Three-quarters of employers (both private and public sector) (75%) have a website, with 30% of all employer</w:t>
      </w:r>
      <w:r w:rsidR="00013137">
        <w:t>s</w:t>
      </w:r>
      <w:r>
        <w:t xml:space="preserve"> using the website for e-commerce as well as advertising.</w:t>
      </w:r>
      <w:r w:rsidR="00186376">
        <w:t xml:space="preserve">  The proportion of employers with a website increases to 92% of th</w:t>
      </w:r>
      <w:r w:rsidR="00DE7E36">
        <w:t xml:space="preserve">ose with 25 or more </w:t>
      </w:r>
      <w:r w:rsidR="00DE7E36">
        <w:lastRenderedPageBreak/>
        <w:t>employees, while the use of website for e-commerce is significantly higher than average in the distribution/hotels/restaurant sector.</w:t>
      </w:r>
    </w:p>
    <w:p w:rsidR="0032548C" w:rsidRDefault="0032548C" w:rsidP="001854CA">
      <w:pPr>
        <w:pStyle w:val="BodyText"/>
      </w:pPr>
      <w:r>
        <w:t>Use of website for e-commerce is particularly likely amongst exporters (47%, compared with 27% of non-exporters).</w:t>
      </w:r>
    </w:p>
    <w:p w:rsidR="00D63F65" w:rsidRDefault="00D63F65" w:rsidP="001854CA">
      <w:pPr>
        <w:pStyle w:val="BodyText"/>
      </w:pPr>
      <w:r>
        <w:t>Use of a website and use of it for e-commerce, is particularly prevalent within the district of Lincoln.</w:t>
      </w:r>
      <w:r w:rsidR="00B74BD1">
        <w:t xml:space="preserve">  This is likely to reflect the more urban character of the district and the higher concentration of employers within the distribution/hotels/restaurants and banking/finance/</w:t>
      </w:r>
      <w:r w:rsidR="00EA10DF">
        <w:t xml:space="preserve"> </w:t>
      </w:r>
      <w:r w:rsidR="00B74BD1">
        <w:t>insurance sectors.</w:t>
      </w:r>
    </w:p>
    <w:p w:rsidR="001854CA" w:rsidRDefault="001854CA" w:rsidP="001854CA">
      <w:pPr>
        <w:pStyle w:val="BodyText"/>
      </w:pPr>
      <w:r>
        <w:t>Nearly half the employers (47%) include social media (mainly Facebook</w:t>
      </w:r>
      <w:r w:rsidR="00AF3EC2">
        <w:t xml:space="preserve"> – used by 86%</w:t>
      </w:r>
      <w:r>
        <w:t xml:space="preserve">) in their marketing plans. </w:t>
      </w:r>
      <w:r w:rsidR="00AF3EC2">
        <w:t xml:space="preserve"> Twitter is use by around half of employers that use social media (53%).</w:t>
      </w:r>
      <w:r>
        <w:t xml:space="preserve"> </w:t>
      </w:r>
      <w:r w:rsidR="00AF3EC2">
        <w:t xml:space="preserve"> </w:t>
      </w:r>
      <w:r>
        <w:t>This is most likely to be because employers want to raise their company profile, while one in three use social media to engage with and inform their customers.  Similarly one in three employers with a website use social media to drive traffic towards that website.</w:t>
      </w:r>
    </w:p>
    <w:p w:rsidR="001854CA" w:rsidRDefault="001854CA" w:rsidP="001854CA">
      <w:pPr>
        <w:pStyle w:val="BodyText"/>
      </w:pPr>
      <w:r>
        <w:t>Nearly all employers (93%) agree that universal access to broadband is important for the local economy, while the vast majority of employers (86%) agree that having access to superfast broadband is important for their business and two-thirds (67%) agree that access to broadband for home-working is important to their business.</w:t>
      </w:r>
    </w:p>
    <w:p w:rsidR="00D94108" w:rsidRDefault="00B80EB7" w:rsidP="001854CA">
      <w:pPr>
        <w:pStyle w:val="BodyText"/>
      </w:pPr>
      <w:r>
        <w:t>Employers that export and have a website are significantly more likely</w:t>
      </w:r>
      <w:r w:rsidR="00D94108">
        <w:t xml:space="preserve"> than those that do not to strongly agree that broadband (particularly superfast broadband) is important.</w:t>
      </w:r>
    </w:p>
    <w:p w:rsidR="001854CA" w:rsidRDefault="001854CA" w:rsidP="001854CA">
      <w:pPr>
        <w:pStyle w:val="BodyText"/>
      </w:pPr>
      <w:r>
        <w:t>More than three-quarters of employers (77%) agree that reliable and widely available mobile connections for employees while they are out on the road in Greater Lincolnshire are important for their business.</w:t>
      </w:r>
    </w:p>
    <w:p w:rsidR="00651896" w:rsidRDefault="00651896" w:rsidP="00651896">
      <w:pPr>
        <w:pStyle w:val="Heading2"/>
      </w:pPr>
      <w:bookmarkStart w:id="4" w:name="_Toc394057497"/>
      <w:r>
        <w:t>Business Growth and Innovation</w:t>
      </w:r>
      <w:bookmarkEnd w:id="4"/>
      <w:r>
        <w:t xml:space="preserve"> </w:t>
      </w:r>
    </w:p>
    <w:p w:rsidR="008235C5" w:rsidRDefault="008235C5" w:rsidP="008235C5">
      <w:pPr>
        <w:pStyle w:val="BodyText"/>
      </w:pPr>
      <w:r>
        <w:t>More than a fifth of employers</w:t>
      </w:r>
      <w:r w:rsidR="004135B9">
        <w:t xml:space="preserve"> in Greater Lincolnshire</w:t>
      </w:r>
      <w:r>
        <w:t xml:space="preserve"> (22%) reported an increase in the number of staff employed at their site during the last 12 months.</w:t>
      </w:r>
      <w:r w:rsidR="004135B9">
        <w:t xml:space="preserve">  This proportion increases with business size to 46% of 100+ employers.</w:t>
      </w:r>
    </w:p>
    <w:p w:rsidR="008235C5" w:rsidRDefault="008235C5" w:rsidP="008235C5">
      <w:pPr>
        <w:pStyle w:val="BodyText"/>
      </w:pPr>
      <w:r>
        <w:t>Around one in ten (9%) reported a decrease in staff numbers, with the remainder (68% of all employers) reporting no change in workforce size in the last 12 months.</w:t>
      </w:r>
    </w:p>
    <w:p w:rsidR="008235C5" w:rsidRDefault="008235C5" w:rsidP="008235C5">
      <w:pPr>
        <w:pStyle w:val="BodyText"/>
      </w:pPr>
      <w:r>
        <w:t>Two-thirds of employers (65%) report an increase in any financial measure, including profitability, turnover, sales and market share, in the last 12 months.  Most likely is an increase in turnover (55%), while least likely is an increase in market share (32%).</w:t>
      </w:r>
      <w:r w:rsidR="000C0448">
        <w:t xml:space="preserve">  Businesses with between 10 and 99 staff are particularly likely to report improvements in these measures in the last 12 months.  </w:t>
      </w:r>
    </w:p>
    <w:p w:rsidR="008235C5" w:rsidRDefault="008235C5" w:rsidP="008235C5">
      <w:pPr>
        <w:pStyle w:val="BodyText"/>
      </w:pPr>
      <w:r>
        <w:t xml:space="preserve">Over the next 12 months, 27% of all employers anticipate an increase in the number of staff employed at their site.   This contrasts with just 3% of those that anticipate a decrease.  </w:t>
      </w:r>
    </w:p>
    <w:p w:rsidR="008235C5" w:rsidRDefault="008235C5" w:rsidP="008235C5">
      <w:pPr>
        <w:pStyle w:val="BodyText"/>
      </w:pPr>
      <w:r>
        <w:t>Two-thirds of employers (68%) do not expect the size of their workforce to change in the next 12 months.</w:t>
      </w:r>
    </w:p>
    <w:p w:rsidR="008235C5" w:rsidRDefault="008235C5" w:rsidP="008235C5">
      <w:pPr>
        <w:pStyle w:val="BodyText"/>
      </w:pPr>
      <w:r>
        <w:t xml:space="preserve">In terms of anticipated changes in business performance amongst private sector organisations, over the next 12 months, nearly three-quarters (72%) expect an increase in any financial measure including turnover, profitability, market share or sales.  Around two-thirds anticipate an increase in turnover (66%) and/or profitability (65%) in the </w:t>
      </w:r>
      <w:r w:rsidR="00694E1D">
        <w:t>next</w:t>
      </w:r>
      <w:r>
        <w:t xml:space="preserve"> 12 </w:t>
      </w:r>
      <w:r>
        <w:lastRenderedPageBreak/>
        <w:t xml:space="preserve">months.   Fewer anticipate an increase in market share (46%), although this proportion is higher than that reported with regard to increasing market share in the </w:t>
      </w:r>
      <w:r w:rsidR="00694E1D">
        <w:t>next</w:t>
      </w:r>
      <w:r>
        <w:t xml:space="preserve"> 12 months.</w:t>
      </w:r>
    </w:p>
    <w:p w:rsidR="008235C5" w:rsidRDefault="008235C5" w:rsidP="008235C5">
      <w:pPr>
        <w:pStyle w:val="BodyText"/>
      </w:pPr>
      <w:r>
        <w:t>Half of all private sector employers (49%) have a formal written business plan and in most cases this is kept up to date (43% of all private sector employers).</w:t>
      </w:r>
      <w:r w:rsidR="00006CC8">
        <w:t xml:space="preserve">  Business size is a key determinant of the propensity to have formal planning processes in place and the proportion of employers with a business plan that is kept up to date increases to 89% of 100+ employers.</w:t>
      </w:r>
    </w:p>
    <w:p w:rsidR="008235C5" w:rsidRDefault="008235C5" w:rsidP="008235C5">
      <w:pPr>
        <w:pStyle w:val="BodyText"/>
      </w:pPr>
      <w:r>
        <w:t>Around two-fifths of private sector employers (38%) have introduced new or significantly improved products or services in the last 12 months. For the majority (77% of these employers) these were new to the busi</w:t>
      </w:r>
      <w:r w:rsidR="00694E1D">
        <w:t>ness rather than being complete</w:t>
      </w:r>
      <w:r>
        <w:t>ly new.</w:t>
      </w:r>
    </w:p>
    <w:p w:rsidR="008235C5" w:rsidRDefault="008235C5" w:rsidP="008235C5">
      <w:pPr>
        <w:pStyle w:val="BodyText"/>
      </w:pPr>
      <w:r>
        <w:t xml:space="preserve">A third of all private sector employers (34%) have introduced new or improved processes in the last 12 months.  Again, the majority (83%) report these new processes as new to the business but not completely new. </w:t>
      </w:r>
    </w:p>
    <w:p w:rsidR="00006CC8" w:rsidRDefault="00006CC8" w:rsidP="008235C5">
      <w:pPr>
        <w:pStyle w:val="BodyText"/>
      </w:pPr>
      <w:r>
        <w:t>The propensity to innovate increases with business size and is more prevalent amongst exporters.  Those reporting growth in terms of employment or implying expansion through seeking finance or through recruitment are more likely to have introduced new or improved products, services or processes in the last 12 months.</w:t>
      </w:r>
    </w:p>
    <w:p w:rsidR="008235C5" w:rsidRDefault="008235C5" w:rsidP="008235C5">
      <w:pPr>
        <w:pStyle w:val="BodyText"/>
      </w:pPr>
      <w:r>
        <w:t>A quarter of private sector employers (27%) have a formal R &amp; D function to support innovation</w:t>
      </w:r>
      <w:r w:rsidR="00A53CA3">
        <w:t>, increasing to 64% of 100+ employers</w:t>
      </w:r>
      <w:r>
        <w:t>.   Just over half of all private sector employers (54%) innovate on an ad hoc basis rather than with the assistance of a permanent R &amp; D function.</w:t>
      </w:r>
    </w:p>
    <w:p w:rsidR="008235C5" w:rsidRDefault="008235C5" w:rsidP="008235C5">
      <w:pPr>
        <w:pStyle w:val="BodyText"/>
      </w:pPr>
      <w:r>
        <w:t>More than half of employers that have introduced new or improved products (59%) have collaborated with others outside of their organisation in developing their ideas.</w:t>
      </w:r>
    </w:p>
    <w:p w:rsidR="008235C5" w:rsidRDefault="008235C5" w:rsidP="008235C5">
      <w:pPr>
        <w:pStyle w:val="BodyText"/>
      </w:pPr>
      <w:r>
        <w:t>Other businesses are key collaborators</w:t>
      </w:r>
      <w:r w:rsidR="00A53CA3">
        <w:t>,</w:t>
      </w:r>
      <w:r>
        <w:t xml:space="preserve"> as the majority of businesses that collaborate with others choose these as partners.</w:t>
      </w:r>
    </w:p>
    <w:p w:rsidR="008235C5" w:rsidRDefault="008235C5" w:rsidP="008235C5">
      <w:pPr>
        <w:pStyle w:val="BodyText"/>
      </w:pPr>
      <w:r>
        <w:t>Having suitable, low cost premises is considered significantly beneficial by more than half of all employers</w:t>
      </w:r>
      <w:r w:rsidR="00A53CA3">
        <w:t xml:space="preserve"> (58%)</w:t>
      </w:r>
      <w:r>
        <w:t xml:space="preserve">.  Access to funding </w:t>
      </w:r>
      <w:r w:rsidR="00A53CA3">
        <w:t xml:space="preserve">(56%) </w:t>
      </w:r>
      <w:r>
        <w:t>and the availability of highly skilled labour</w:t>
      </w:r>
      <w:r w:rsidR="00A53CA3">
        <w:t xml:space="preserve"> (54%)</w:t>
      </w:r>
      <w:r>
        <w:t xml:space="preserve"> or other skills the business needs </w:t>
      </w:r>
      <w:r w:rsidR="00A53CA3">
        <w:t xml:space="preserve">(52%) </w:t>
      </w:r>
      <w:r>
        <w:t>as well as local training</w:t>
      </w:r>
      <w:r w:rsidR="00A53CA3">
        <w:t xml:space="preserve"> (54%)</w:t>
      </w:r>
      <w:r>
        <w:t>, are also considered to be important by more than half the employers.</w:t>
      </w:r>
    </w:p>
    <w:p w:rsidR="008235C5" w:rsidRDefault="008235C5" w:rsidP="008235C5">
      <w:pPr>
        <w:pStyle w:val="BodyText"/>
      </w:pPr>
      <w:r>
        <w:t>The top four potential sources of support or advice include: the county council/district council; accountants; web based business advice and internal sources; such as a head office.</w:t>
      </w:r>
    </w:p>
    <w:p w:rsidR="008235C5" w:rsidRDefault="008235C5" w:rsidP="008235C5">
      <w:pPr>
        <w:pStyle w:val="BodyText"/>
      </w:pPr>
      <w:r>
        <w:t>Poor transport infrastructure</w:t>
      </w:r>
      <w:r w:rsidR="0099611B">
        <w:t>, which is an aspect to the location of businesses that is particularly poorly rated,</w:t>
      </w:r>
      <w:r>
        <w:t xml:space="preserve"> is cited by 30% of private sector employers as an obstacle to business growth</w:t>
      </w:r>
      <w:r w:rsidR="0099611B">
        <w:t>.  The proportion is higher than average in East Lindsey (44%) and Boston (43%).  O</w:t>
      </w:r>
      <w:r>
        <w:t>ne in four employers cited a lack of capital for investment</w:t>
      </w:r>
      <w:r w:rsidR="00A53CA3">
        <w:t xml:space="preserve"> (25%)</w:t>
      </w:r>
      <w:r>
        <w:t xml:space="preserve"> and/or poor cash flow</w:t>
      </w:r>
      <w:r w:rsidR="00A53CA3">
        <w:t xml:space="preserve"> (24%)</w:t>
      </w:r>
      <w:r>
        <w:t>.</w:t>
      </w:r>
    </w:p>
    <w:p w:rsidR="00651896" w:rsidRDefault="005113F6" w:rsidP="00651896">
      <w:r>
        <w:t>Overall, poor transport infrastructure is cited as the greatest obstacle to business growth by employers (12%). Poor cash flow is a close second (11%).</w:t>
      </w:r>
    </w:p>
    <w:p w:rsidR="00651896" w:rsidRDefault="00651896" w:rsidP="00651896">
      <w:pPr>
        <w:pStyle w:val="Heading2"/>
      </w:pPr>
      <w:bookmarkStart w:id="5" w:name="_Toc394057498"/>
      <w:r>
        <w:t>Finance and Investment</w:t>
      </w:r>
      <w:bookmarkEnd w:id="5"/>
    </w:p>
    <w:p w:rsidR="00CF693F" w:rsidRDefault="00CF693F" w:rsidP="00CF693F">
      <w:pPr>
        <w:pStyle w:val="BodyText"/>
      </w:pPr>
      <w:r>
        <w:t>One in six private sector employers</w:t>
      </w:r>
      <w:r w:rsidR="00403721">
        <w:t xml:space="preserve"> in Greater Lincolnshire</w:t>
      </w:r>
      <w:r>
        <w:t xml:space="preserve"> (16%) reports having sought finance in the last 12 months.  This proportion increases to 33% of 100+ employers.</w:t>
      </w:r>
    </w:p>
    <w:p w:rsidR="00CF693F" w:rsidRDefault="00CF693F" w:rsidP="00CF693F">
      <w:pPr>
        <w:pStyle w:val="BodyText"/>
      </w:pPr>
      <w:r>
        <w:lastRenderedPageBreak/>
        <w:t>Bank loans were the most commonly sought type of finance (40% of those that have sought finance), followed by a bank overdraft (21%) and/or grant (18%).</w:t>
      </w:r>
    </w:p>
    <w:p w:rsidR="00CF693F" w:rsidRDefault="00CF693F" w:rsidP="00CF693F">
      <w:pPr>
        <w:pStyle w:val="BodyText"/>
      </w:pPr>
      <w:r>
        <w:t xml:space="preserve">The most common reason for seeking finance was for business expansion or growth (36% of those that sought finance).  More than a quarter of employers seeking finance (26%) did so to obtain working capital or improve their cash flow, while fewer (17%) sought finance for capital equipment or vehicles.  </w:t>
      </w:r>
    </w:p>
    <w:p w:rsidR="00CF693F" w:rsidRDefault="00CF693F" w:rsidP="00CF693F">
      <w:pPr>
        <w:pStyle w:val="BodyText"/>
      </w:pPr>
      <w:r>
        <w:t xml:space="preserve">A third of employers that sought finance (33%) experienced some difficulty in arranging it and these difficulties experienced were chiefly due to not meeting the criteria laid down by the prospective lender/financer (27%) and/or finance being unavailable (21%).  </w:t>
      </w:r>
    </w:p>
    <w:p w:rsidR="00CF693F" w:rsidRDefault="00CF693F" w:rsidP="00CF693F">
      <w:pPr>
        <w:pStyle w:val="BodyText"/>
      </w:pPr>
      <w:r>
        <w:t xml:space="preserve">More than four in five private sector employers (84%) expect to invest in the business in the next 2 years.  </w:t>
      </w:r>
    </w:p>
    <w:p w:rsidR="00CF693F" w:rsidRDefault="00CF693F" w:rsidP="00CF693F">
      <w:pPr>
        <w:pStyle w:val="BodyText"/>
      </w:pPr>
      <w:r>
        <w:t>Employers are most likely to expect to invest in training (61%), while half expect to invest in new technologies (50%), plant/machinery/equipment (49%) and/or new products (47%).  A quarter expects to invest in research and development (25%) or expanding or moving premises (24%).</w:t>
      </w:r>
    </w:p>
    <w:p w:rsidR="00651896" w:rsidRDefault="00651896" w:rsidP="00651896">
      <w:pPr>
        <w:pStyle w:val="Heading2"/>
      </w:pPr>
      <w:bookmarkStart w:id="6" w:name="_Toc394057499"/>
      <w:r>
        <w:t>Recruitment and Skill Shortages</w:t>
      </w:r>
      <w:bookmarkEnd w:id="6"/>
    </w:p>
    <w:p w:rsidR="008616DD" w:rsidRPr="00D8636B" w:rsidRDefault="008616DD" w:rsidP="008616DD">
      <w:pPr>
        <w:pStyle w:val="BodyText"/>
      </w:pPr>
      <w:r w:rsidRPr="00D8636B">
        <w:t>Around half of employers in Greater Lincolnshire (48%) have recruited any staff in the last 12 months.  This increases to 83% of those with 10 or more staff</w:t>
      </w:r>
      <w:r w:rsidR="00690350" w:rsidRPr="00D8636B">
        <w:t xml:space="preserve"> and 93% of those with 25 or more staff</w:t>
      </w:r>
      <w:r w:rsidRPr="00D8636B">
        <w:t>.</w:t>
      </w:r>
    </w:p>
    <w:p w:rsidR="00690350" w:rsidRPr="00D8636B" w:rsidRDefault="00671724" w:rsidP="008616DD">
      <w:pPr>
        <w:pStyle w:val="BodyText"/>
      </w:pPr>
      <w:r w:rsidRPr="00D8636B">
        <w:t xml:space="preserve">Two-thirds of employers that have recruited staff in the last 12 months (67%) have recruited for existing posts, while fewer (53%) have recruited to fill new posts.  </w:t>
      </w:r>
      <w:r w:rsidR="005D09DB" w:rsidRPr="00D8636B">
        <w:t>As one would expect, employers that have increased the size of their workforce in the last 12 months are significantly more likely</w:t>
      </w:r>
      <w:r w:rsidR="00E36770" w:rsidRPr="00D8636B">
        <w:t xml:space="preserve"> than average</w:t>
      </w:r>
      <w:r w:rsidR="005D09DB" w:rsidRPr="00D8636B">
        <w:t xml:space="preserve"> to have re</w:t>
      </w:r>
      <w:r w:rsidR="00E36770" w:rsidRPr="00D8636B">
        <w:t>cruited for newly created posts (84%)</w:t>
      </w:r>
    </w:p>
    <w:p w:rsidR="008616DD" w:rsidRPr="00D8636B" w:rsidRDefault="008616DD" w:rsidP="008616DD">
      <w:pPr>
        <w:pStyle w:val="BodyText"/>
      </w:pPr>
      <w:r w:rsidRPr="00D8636B">
        <w:t>The most likely posts recruited for are those at the lower skill levels, semi- and un-skilled workers</w:t>
      </w:r>
      <w:r w:rsidR="00D8636B">
        <w:t xml:space="preserve"> (35% and 32% of employers that have recruited respectively), while 26% of recruiting employers have recruited skilled manual/technical/craft workers</w:t>
      </w:r>
      <w:r w:rsidRPr="00D8636B">
        <w:t>.</w:t>
      </w:r>
      <w:r w:rsidR="00D8636B">
        <w:t xml:space="preserve">  The latter are particularly significant within construction and manufacturing sectors, while semi- and un-skilled workers are significant in terms of posts recruited for within </w:t>
      </w:r>
      <w:r w:rsidR="006F0BDB">
        <w:t xml:space="preserve">the </w:t>
      </w:r>
      <w:r w:rsidR="00D8636B">
        <w:t>distribution/hotels/restaurants</w:t>
      </w:r>
      <w:r w:rsidR="006F0BDB">
        <w:t xml:space="preserve"> sector</w:t>
      </w:r>
      <w:r w:rsidR="00D8636B">
        <w:t>.</w:t>
      </w:r>
    </w:p>
    <w:p w:rsidR="008616DD" w:rsidRPr="00D8636B" w:rsidRDefault="008616DD" w:rsidP="008616DD">
      <w:pPr>
        <w:pStyle w:val="BodyText"/>
      </w:pPr>
      <w:r w:rsidRPr="00D8636B">
        <w:t xml:space="preserve">More than four-fifths of employers that have recruited any staff in the last 12 months </w:t>
      </w:r>
      <w:r w:rsidR="006F0BDB">
        <w:t xml:space="preserve">(83%) </w:t>
      </w:r>
      <w:r w:rsidRPr="00D8636B">
        <w:t>have recruited someone from a ‘disadvantaged’ group, which includes (and is most likely to be) people aged 45+</w:t>
      </w:r>
      <w:r w:rsidR="006F0BDB">
        <w:t xml:space="preserve"> (43% of those that have recruited staff)</w:t>
      </w:r>
      <w:r w:rsidRPr="00D8636B">
        <w:t>.</w:t>
      </w:r>
      <w:r w:rsidR="006F0BDB">
        <w:t xml:space="preserve">  A third of employers that have recruited have recruited someone aged under 19 (35%), long term unemployed (31%) or women returning to work after a career break (30%).</w:t>
      </w:r>
    </w:p>
    <w:p w:rsidR="008616DD" w:rsidRPr="00D8636B" w:rsidRDefault="008616DD" w:rsidP="008616DD">
      <w:pPr>
        <w:pStyle w:val="BodyText"/>
      </w:pPr>
      <w:r w:rsidRPr="00D8636B">
        <w:t>Around one in four employers that have recruited (23%) report some of the vacancies as being hard-to-fill.  This equates to 11% of all employers.</w:t>
      </w:r>
    </w:p>
    <w:p w:rsidR="008616DD" w:rsidRPr="00D8636B" w:rsidRDefault="008616DD" w:rsidP="008616DD">
      <w:pPr>
        <w:pStyle w:val="BodyText"/>
      </w:pPr>
      <w:r w:rsidRPr="00D8636B">
        <w:t>Recruitment difficulties are most likely to have been experienced with regard to professional occupations</w:t>
      </w:r>
      <w:r w:rsidR="00DD1FE9">
        <w:t xml:space="preserve"> (28% of employers who have tried to recruit for these posts)</w:t>
      </w:r>
      <w:r w:rsidRPr="00D8636B">
        <w:t>, with managerial/director/senior official posts also significant in this respect</w:t>
      </w:r>
      <w:r w:rsidR="00DD1FE9">
        <w:t xml:space="preserve"> (23%)</w:t>
      </w:r>
      <w:r w:rsidRPr="00D8636B">
        <w:t>.</w:t>
      </w:r>
    </w:p>
    <w:p w:rsidR="008616DD" w:rsidRDefault="00DD1FE9" w:rsidP="008616DD">
      <w:pPr>
        <w:pStyle w:val="BodyText"/>
      </w:pPr>
      <w:r>
        <w:t>Lack of skills, ex</w:t>
      </w:r>
      <w:r w:rsidR="008616DD" w:rsidRPr="00D8636B">
        <w:t>perience and qualifications among applicants predominate as reasons for vacancies being hard-to-fill</w:t>
      </w:r>
      <w:r>
        <w:t>; applicants not having the required working experience/job specific skills (39%) and/or the required qualifications/skills (37%).</w:t>
      </w:r>
    </w:p>
    <w:p w:rsidR="00651896" w:rsidRDefault="00651896" w:rsidP="00651896">
      <w:pPr>
        <w:pStyle w:val="Heading2"/>
      </w:pPr>
      <w:bookmarkStart w:id="7" w:name="_Toc394057500"/>
      <w:r>
        <w:lastRenderedPageBreak/>
        <w:t>Skill Gaps and Skill Development</w:t>
      </w:r>
      <w:bookmarkEnd w:id="7"/>
    </w:p>
    <w:p w:rsidR="00755FA2" w:rsidRDefault="00755FA2" w:rsidP="00755FA2">
      <w:pPr>
        <w:pStyle w:val="BodyText"/>
      </w:pPr>
      <w:r w:rsidRPr="00834EBE">
        <w:t>Across Greater Lincolnshire, employers estimate that 6% of their workforce has no qualifications, while</w:t>
      </w:r>
      <w:r>
        <w:t xml:space="preserve"> 18% have level 4 equivalent qualifications or above.</w:t>
      </w:r>
    </w:p>
    <w:p w:rsidR="00834EBE" w:rsidRDefault="00834EBE" w:rsidP="00755FA2">
      <w:pPr>
        <w:pStyle w:val="BodyText"/>
      </w:pPr>
      <w:r>
        <w:t>It is estimated that one in eight employees in North Lincolnshire and West Lindsey (12% each) are unqualified.  The proportion of the workforce that is unqualified is at a similar level within manufacturing (13%).</w:t>
      </w:r>
    </w:p>
    <w:p w:rsidR="00834EBE" w:rsidRDefault="00834EBE" w:rsidP="00755FA2">
      <w:pPr>
        <w:pStyle w:val="BodyText"/>
      </w:pPr>
      <w:r>
        <w:t>The workforce profile within service sectors is better qualified than that within production/construction sectors.</w:t>
      </w:r>
    </w:p>
    <w:p w:rsidR="00755FA2" w:rsidRDefault="00755FA2" w:rsidP="00755FA2">
      <w:pPr>
        <w:pStyle w:val="BodyText"/>
      </w:pPr>
      <w:r>
        <w:t>One in six employers (17%) highlight</w:t>
      </w:r>
      <w:r w:rsidR="00834EBE">
        <w:t>s</w:t>
      </w:r>
      <w:r>
        <w:t xml:space="preserve"> skill deficiencies among their workforce.  As a proportion of all </w:t>
      </w:r>
      <w:r w:rsidR="001971CE">
        <w:t xml:space="preserve">employees, this is estimated at </w:t>
      </w:r>
      <w:r>
        <w:t>5% of the workforce</w:t>
      </w:r>
      <w:r w:rsidR="001971CE">
        <w:t xml:space="preserve"> not being fully proficient in their jobs</w:t>
      </w:r>
      <w:r>
        <w:t>.</w:t>
      </w:r>
    </w:p>
    <w:p w:rsidR="00755FA2" w:rsidRDefault="00755FA2" w:rsidP="00755FA2">
      <w:pPr>
        <w:pStyle w:val="BodyText"/>
      </w:pPr>
      <w:r>
        <w:t>One in ten employers (10%) reported a significant gap between the type of skills that current employees have now and those that they need to meet their current business objectives.</w:t>
      </w:r>
    </w:p>
    <w:p w:rsidR="00755FA2" w:rsidRDefault="00755FA2" w:rsidP="00755FA2">
      <w:pPr>
        <w:pStyle w:val="BodyText"/>
      </w:pPr>
      <w:r>
        <w:t>One in seven employers (15%) anticipates a significant gap within their workforce in meeting future objectives.</w:t>
      </w:r>
    </w:p>
    <w:p w:rsidR="0037122F" w:rsidRDefault="0037122F" w:rsidP="00755FA2">
      <w:pPr>
        <w:pStyle w:val="BodyText"/>
      </w:pPr>
      <w:r>
        <w:t>While it is manufacturers that are significantly more likely than average to report current skill gaps, it is construction employers that are particularly likely to anticipate skill gaps going forward.</w:t>
      </w:r>
    </w:p>
    <w:p w:rsidR="00755FA2" w:rsidRDefault="00755FA2" w:rsidP="00755FA2">
      <w:pPr>
        <w:pStyle w:val="BodyText"/>
      </w:pPr>
      <w:r>
        <w:t xml:space="preserve">Employers </w:t>
      </w:r>
      <w:r w:rsidR="002C67BA">
        <w:t xml:space="preserve">that have identified a skill gap in their workforce with regard to current or future objectives (16% of all in aggregate) </w:t>
      </w:r>
      <w:r>
        <w:t xml:space="preserve">are most likely to mention technical, practical or job specific skills as those that need improving to meet their business objectives (71%).  </w:t>
      </w:r>
      <w:r w:rsidR="002C67BA">
        <w:t>Half (51%) mention planning and organising skills</w:t>
      </w:r>
      <w:r w:rsidR="003D4280">
        <w:t>, while a range of skills are mentioned by around two-fifths of employers; problem solving skills (44%); oral communication skills (42%); customer handling skills (39%); strategic management skills (39%) and team working skills (38%).</w:t>
      </w:r>
    </w:p>
    <w:p w:rsidR="00755FA2" w:rsidRDefault="00755FA2" w:rsidP="00755FA2">
      <w:pPr>
        <w:pStyle w:val="BodyText"/>
      </w:pPr>
      <w:r>
        <w:t>Half the employers in Greater Lincolnshire (50%)</w:t>
      </w:r>
      <w:r w:rsidR="00AC4348">
        <w:t xml:space="preserve"> have a training plan or budget.  The proportion is significantly higher than average in Lincoln (62%).</w:t>
      </w:r>
      <w:r>
        <w:t xml:space="preserve"> </w:t>
      </w:r>
    </w:p>
    <w:p w:rsidR="00755FA2" w:rsidRDefault="00755FA2" w:rsidP="00755FA2">
      <w:pPr>
        <w:pStyle w:val="BodyText"/>
      </w:pPr>
      <w:r>
        <w:t xml:space="preserve">Nearly half the employers (48%) have funded or arranged off the job training in the last 12 months for any employees.  A slightly higher proportion (51%) have funded or arranged on the job training in that time.  </w:t>
      </w:r>
    </w:p>
    <w:p w:rsidR="00755FA2" w:rsidRDefault="00755FA2" w:rsidP="00755FA2">
      <w:pPr>
        <w:pStyle w:val="BodyText"/>
      </w:pPr>
      <w:r>
        <w:t xml:space="preserve">Overall, 64% of Greater Lincolnshire employers have funded or arranged any training in the last 12 months.   </w:t>
      </w:r>
    </w:p>
    <w:p w:rsidR="00755FA2" w:rsidRDefault="00755FA2" w:rsidP="00755FA2">
      <w:pPr>
        <w:pStyle w:val="BodyText"/>
      </w:pPr>
      <w:r>
        <w:t>Business size is the key determi</w:t>
      </w:r>
      <w:r w:rsidR="00AC4348">
        <w:t>nant of the propensity to train, with 97% of employers with 25+ employees having funded or arranged any training in the last 12 months.</w:t>
      </w:r>
    </w:p>
    <w:p w:rsidR="005F2B08" w:rsidRDefault="005F2B08" w:rsidP="00755FA2">
      <w:pPr>
        <w:pStyle w:val="BodyText"/>
      </w:pPr>
      <w:r>
        <w:t xml:space="preserve">By sector, levels of training are significantly higher than average in public administration/education/health, while lower within distribution/hotels/restaurants.  Both </w:t>
      </w:r>
      <w:r w:rsidR="00FD263E">
        <w:t xml:space="preserve">the construction and banking/finance/insurance sectors </w:t>
      </w:r>
      <w:r w:rsidR="000617FD">
        <w:t>fund or arrange</w:t>
      </w:r>
      <w:r w:rsidR="00FD263E">
        <w:t xml:space="preserve"> higher than average levels of off-the-job training.  In particular, construction employers are more likely to have funded or arranged off-the-job than on-the-job training.</w:t>
      </w:r>
    </w:p>
    <w:p w:rsidR="00755FA2" w:rsidRDefault="00755FA2" w:rsidP="00755FA2">
      <w:pPr>
        <w:pStyle w:val="BodyText"/>
      </w:pPr>
      <w:r>
        <w:t>Training is mainly delivered by private training providers, with around one in four employers that have delivered training using public sector educational FE/HE institutions in the area</w:t>
      </w:r>
      <w:r w:rsidR="00CA43ED">
        <w:t xml:space="preserve">:  </w:t>
      </w:r>
      <w:r w:rsidR="00CA43ED">
        <w:lastRenderedPageBreak/>
        <w:t>5% have used a local FE college; 10% have used a local university</w:t>
      </w:r>
      <w:r>
        <w:t>.</w:t>
      </w:r>
      <w:r w:rsidR="00CA43ED">
        <w:t xml:space="preserve">  One in five employers (22%) arranges all their training in-house.  </w:t>
      </w:r>
    </w:p>
    <w:p w:rsidR="00755FA2" w:rsidRDefault="00755FA2" w:rsidP="00755FA2">
      <w:pPr>
        <w:pStyle w:val="BodyText"/>
      </w:pPr>
      <w:r>
        <w:t>Two-third of employers that have delivered training (68%) formally assess whether any training and development has had an impact on an employee’s performance.  This is more common where off the job training has been undertaken</w:t>
      </w:r>
      <w:r w:rsidR="0000169E">
        <w:t>, although this is also due to the fact that larger employers are more likely</w:t>
      </w:r>
      <w:r w:rsidR="00C716D9">
        <w:t xml:space="preserve"> than average to fund or arrange off-the-job training as well as being more likely than average to assess the impact of the training and development.</w:t>
      </w:r>
    </w:p>
    <w:p w:rsidR="00755FA2" w:rsidRDefault="00755FA2" w:rsidP="00755FA2">
      <w:pPr>
        <w:pStyle w:val="BodyText"/>
      </w:pPr>
      <w:r>
        <w:t>Training delivery can be limited by the capacity of the business to release employees for training</w:t>
      </w:r>
      <w:r w:rsidR="00A05A3B">
        <w:t xml:space="preserve"> – cited by 21% of those that have funded/arranged training as an obstacle to more training in the last 12 months - </w:t>
      </w:r>
      <w:r>
        <w:t>and to cost</w:t>
      </w:r>
      <w:r w:rsidR="00A05A3B">
        <w:t xml:space="preserve"> – cited by 18%</w:t>
      </w:r>
      <w:r>
        <w:t xml:space="preserve">.  However, more than half of </w:t>
      </w:r>
      <w:r w:rsidR="00A05A3B">
        <w:t xml:space="preserve">all </w:t>
      </w:r>
      <w:r>
        <w:t xml:space="preserve">employers </w:t>
      </w:r>
      <w:r w:rsidR="00A05A3B">
        <w:t xml:space="preserve">– both those that have funded or arranged training and those that have not - </w:t>
      </w:r>
      <w:r>
        <w:t>have had no difficulty in finding suitable training.</w:t>
      </w:r>
    </w:p>
    <w:p w:rsidR="00651896" w:rsidRDefault="00651896" w:rsidP="009235FD">
      <w:pPr>
        <w:pStyle w:val="Heading2"/>
      </w:pPr>
      <w:bookmarkStart w:id="8" w:name="_Toc394057501"/>
      <w:r>
        <w:t>The Environment</w:t>
      </w:r>
      <w:bookmarkEnd w:id="8"/>
    </w:p>
    <w:p w:rsidR="00755FA2" w:rsidRDefault="00755FA2" w:rsidP="00755FA2">
      <w:pPr>
        <w:pStyle w:val="BodyText"/>
      </w:pPr>
      <w:r w:rsidRPr="00487D9F">
        <w:t>A third of Greater Lincolnshire employers (33%) report having introduced any energy efficiency measures</w:t>
      </w:r>
      <w:r>
        <w:t xml:space="preserve"> in the last 12 months.</w:t>
      </w:r>
    </w:p>
    <w:p w:rsidR="00755FA2" w:rsidRDefault="00755FA2" w:rsidP="00755FA2">
      <w:pPr>
        <w:pStyle w:val="BodyText"/>
      </w:pPr>
      <w:r>
        <w:t>Lighting is the most common area of investment (82%), while some two-thirds of employers (65%) have undertaken recycling or waste reduction measures.  Half have taken action with regard to their heating (50%) and/or energy efficient measures (49%).  Around three in ten employers that have undertaken energy efficiency measures have improved their insulation (31%) and/or water conservation (29%).</w:t>
      </w:r>
    </w:p>
    <w:p w:rsidR="00755FA2" w:rsidRDefault="00755FA2" w:rsidP="00755FA2">
      <w:pPr>
        <w:pStyle w:val="BodyText"/>
      </w:pPr>
      <w:r>
        <w:t xml:space="preserve">Nearly all employers (96%) agree that their business is taking some action or has a pro-active approach to environmental issues and energy efficiency.  </w:t>
      </w:r>
    </w:p>
    <w:p w:rsidR="00755FA2" w:rsidRDefault="00755FA2" w:rsidP="00755FA2">
      <w:pPr>
        <w:pStyle w:val="BodyText"/>
      </w:pPr>
      <w:r>
        <w:t xml:space="preserve">A quarter of employers </w:t>
      </w:r>
      <w:r w:rsidRPr="006E2A81">
        <w:rPr>
          <w:i/>
        </w:rPr>
        <w:t>strongly</w:t>
      </w:r>
      <w:r>
        <w:t xml:space="preserve"> agreed that their business actively works to reduce company waste (27%) and actively tries to improve their energy efficiency (24%).  Fewer strongly agreed that their business considers the environmental impact of their buying decisions (17%) and actively tries to reduce work-related car emissions (16%).</w:t>
      </w:r>
    </w:p>
    <w:p w:rsidR="00755FA2" w:rsidRDefault="00755FA2" w:rsidP="00755FA2">
      <w:pPr>
        <w:pStyle w:val="BodyText"/>
      </w:pPr>
      <w:r>
        <w:t xml:space="preserve">Overall, the majority of employers agree at all that their business is actively working to reduce company waste (91%) and/or actively trying to improve their energy efficiency (88%).  </w:t>
      </w:r>
    </w:p>
    <w:p w:rsidR="00336A30" w:rsidRDefault="00755FA2" w:rsidP="00336A30">
      <w:pPr>
        <w:pStyle w:val="BodyText"/>
      </w:pPr>
      <w:r>
        <w:t xml:space="preserve">Overall, 41% of employers considered the issue of flood risk as being of relevance to their business. More than half the employers </w:t>
      </w:r>
      <w:r w:rsidR="00487D9F">
        <w:t xml:space="preserve">that feel it is relevant </w:t>
      </w:r>
      <w:r>
        <w:t xml:space="preserve">(57%) agreed that their business is concerned about flood risk.  </w:t>
      </w:r>
      <w:r w:rsidR="00336A30">
        <w:t xml:space="preserve">The level of concern is higher than average in Boston.  </w:t>
      </w:r>
    </w:p>
    <w:p w:rsidR="00755FA2" w:rsidRDefault="00755FA2" w:rsidP="00755FA2">
      <w:pPr>
        <w:pStyle w:val="BodyText"/>
      </w:pPr>
      <w:r>
        <w:t xml:space="preserve">A similar proportion (59%) of those that provided a response agreed that the issue of flooding is greater now than previously, while a smaller proportion (48%) agreed that their business is actively trying to reduce the possibility of flooding.  </w:t>
      </w:r>
      <w:r w:rsidR="00336A30">
        <w:t>Boston employers are more likely than average to be actively trying to reduce the possibility of flooding.  Overall,</w:t>
      </w:r>
      <w:r>
        <w:t xml:space="preserve"> just one in five (21%) employers agreed that the risk of flooding is having an impact on their business planning.  </w:t>
      </w:r>
    </w:p>
    <w:p w:rsidR="00694164" w:rsidRDefault="00694164">
      <w:pPr>
        <w:spacing w:after="360"/>
        <w:rPr>
          <w:rFonts w:asciiTheme="majorHAnsi" w:eastAsiaTheme="majorEastAsia" w:hAnsiTheme="majorHAnsi" w:cstheme="majorBidi"/>
          <w:b/>
          <w:bCs/>
          <w:color w:val="0075A4"/>
          <w:sz w:val="26"/>
          <w:szCs w:val="26"/>
        </w:rPr>
      </w:pPr>
      <w:r>
        <w:br w:type="page"/>
      </w:r>
    </w:p>
    <w:p w:rsidR="007E3215" w:rsidRDefault="000A5DDB" w:rsidP="007E3215">
      <w:pPr>
        <w:pStyle w:val="Heading2"/>
      </w:pPr>
      <w:bookmarkStart w:id="9" w:name="_Toc394057502"/>
      <w:r>
        <w:lastRenderedPageBreak/>
        <w:t>Conclusions</w:t>
      </w:r>
      <w:bookmarkEnd w:id="9"/>
    </w:p>
    <w:p w:rsidR="000A5DDB" w:rsidRDefault="000A5DDB" w:rsidP="000A5DDB">
      <w:pPr>
        <w:pStyle w:val="BodyText"/>
      </w:pPr>
      <w:r>
        <w:t xml:space="preserve">The employer population of Greater Lincolnshire is dominated by businesses that are longstanding occupants of the area and very few have plans to relocate </w:t>
      </w:r>
      <w:r w:rsidR="00694164">
        <w:t>elsewhere</w:t>
      </w:r>
      <w:r>
        <w:t xml:space="preserve">.   A key issue for employers is having room to grow and finding bigger, better or cheaper premises is a prime motivator for relocation.  </w:t>
      </w:r>
    </w:p>
    <w:p w:rsidR="000A5DDB" w:rsidRDefault="000A5DDB" w:rsidP="000A5DDB">
      <w:pPr>
        <w:pStyle w:val="BodyText"/>
      </w:pPr>
      <w:r>
        <w:t>The area is perceived in a positive light with regard to be</w:t>
      </w:r>
      <w:r w:rsidR="00DD40D4">
        <w:t xml:space="preserve">ing a place to do business.  However, the area fails to meet all employers’ needs with regard to transport infrastructure.  </w:t>
      </w:r>
      <w:r w:rsidR="00C07723">
        <w:t xml:space="preserve">This is also perceived as a significant obstacle to business growth.  </w:t>
      </w:r>
      <w:r w:rsidR="0016115F">
        <w:t>There is also some feeling that the county is perceived unfavourably by suppliers and customers located outside of it</w:t>
      </w:r>
      <w:r w:rsidR="00E55B06">
        <w:t>, as well as lacking in terms of its ability to attract people to move to the area to work</w:t>
      </w:r>
      <w:r w:rsidR="0016115F">
        <w:t xml:space="preserve">. </w:t>
      </w:r>
    </w:p>
    <w:p w:rsidR="00E55B06" w:rsidRDefault="00E55B06" w:rsidP="000A5DDB">
      <w:pPr>
        <w:pStyle w:val="BodyText"/>
      </w:pPr>
      <w:r>
        <w:t xml:space="preserve">Lack of availability of </w:t>
      </w:r>
      <w:r w:rsidR="009007BB">
        <w:t xml:space="preserve">the </w:t>
      </w:r>
      <w:r>
        <w:t xml:space="preserve">products and services required is the main reason why employers do not use local suppliers, followed </w:t>
      </w:r>
      <w:r w:rsidR="009007BB">
        <w:t xml:space="preserve">by </w:t>
      </w:r>
      <w:r>
        <w:t>(</w:t>
      </w:r>
      <w:r w:rsidR="009007BB">
        <w:t xml:space="preserve">and </w:t>
      </w:r>
      <w:r>
        <w:t>far less frequently mentioned) cost.  Increasing the extent to which Greater Lincolnshire businesses trade between each other relies on businesses identifying what others need but also supplying it at the right price.</w:t>
      </w:r>
    </w:p>
    <w:p w:rsidR="00E55B06" w:rsidRDefault="00E55B06" w:rsidP="000A5DDB">
      <w:pPr>
        <w:pStyle w:val="BodyText"/>
      </w:pPr>
      <w:r>
        <w:t xml:space="preserve">Exporting is at a low level in Greater Lincolnshire, compared to elsewhere in the UK.  </w:t>
      </w:r>
      <w:r w:rsidR="00915311">
        <w:t>Furthermore only a very small minority of non-exporters are planning to begin exporting in the near future.  This is an area where employers may need more support but also may need assistance to become aware of the opportunities that are available to them to expand their markets in this way.</w:t>
      </w:r>
    </w:p>
    <w:p w:rsidR="00915311" w:rsidRDefault="008160EE" w:rsidP="000A5DDB">
      <w:pPr>
        <w:pStyle w:val="BodyText"/>
      </w:pPr>
      <w:r>
        <w:t xml:space="preserve">The internet is a primary tool in developing sales overseas, as evidenced by the fact that exporters are significantly more likely than non-exporters to use a website for e-commerce.  At present one in four employers do not have a website, while seven in ten are not making use of a website for e-commerce.  There is significant potential for development in this area in the next few years and this is likely to have a positive impact on business growth in the area and the extent to which businesses in the county </w:t>
      </w:r>
      <w:r w:rsidR="00F56C71">
        <w:t>exploit markets further afield.</w:t>
      </w:r>
    </w:p>
    <w:p w:rsidR="00F56C71" w:rsidRDefault="00C53F61" w:rsidP="000A5DDB">
      <w:pPr>
        <w:pStyle w:val="BodyText"/>
      </w:pPr>
      <w:r>
        <w:t>Underlining the importance of the internet to business development, there is widespread agreement that access to superfast broadband is important for businesses.  There is also widespread agreement that reliable and widely available mobile connections are important for businesses.</w:t>
      </w:r>
    </w:p>
    <w:p w:rsidR="00C07723" w:rsidRDefault="00C07723" w:rsidP="000A5DDB">
      <w:pPr>
        <w:pStyle w:val="BodyText"/>
      </w:pPr>
      <w:r>
        <w:t>The outlook for businesses (as reported by businesses) is positive, with nearly three-quarters of employers anticipating an increase in any one of a number of financial measures; the main ones being turnover and profitability.</w:t>
      </w:r>
    </w:p>
    <w:p w:rsidR="008828A9" w:rsidRDefault="00C07723" w:rsidP="000A5DDB">
      <w:pPr>
        <w:pStyle w:val="BodyText"/>
      </w:pPr>
      <w:r>
        <w:t xml:space="preserve">Employers are most likely to perceive having suitable, low cost premises and access to funding as being beneficial to their business, although access to people with the right skills or to the training that can furnish their workforce with the right skills is also key.  Recruitment difficulties are most likely to have been experienced with regard to ‘higher’ order professional and managerial posts.  The main cause of recruitment difficulties is a lack of applicants with the right skills, experience and qualifications.  </w:t>
      </w:r>
    </w:p>
    <w:p w:rsidR="00C07723" w:rsidRDefault="008828A9" w:rsidP="000A5DDB">
      <w:pPr>
        <w:pStyle w:val="BodyText"/>
      </w:pPr>
      <w:r>
        <w:t xml:space="preserve">One in twenty </w:t>
      </w:r>
      <w:r w:rsidR="009007BB">
        <w:t>employees</w:t>
      </w:r>
      <w:r>
        <w:t xml:space="preserve"> is estimated to have no qualifications.  This is not necessarily an issue as it depends on the skills and knowledge required in the</w:t>
      </w:r>
      <w:r w:rsidR="009007BB">
        <w:t>ir</w:t>
      </w:r>
      <w:r>
        <w:t xml:space="preserve"> job</w:t>
      </w:r>
      <w:r w:rsidR="009007BB">
        <w:t>s</w:t>
      </w:r>
      <w:r>
        <w:t xml:space="preserve">.  </w:t>
      </w:r>
      <w:r w:rsidR="009007BB">
        <w:t>However, a</w:t>
      </w:r>
      <w:r>
        <w:t xml:space="preserve"> similar proportion of the workforce is deemed to be lacking the right skills or experience to be fully proficient in their jobs.  Overall, around one in eight employers </w:t>
      </w:r>
      <w:r w:rsidR="000135FD">
        <w:t>report</w:t>
      </w:r>
      <w:r>
        <w:t xml:space="preserve"> a skill gap within their workforce.</w:t>
      </w:r>
    </w:p>
    <w:p w:rsidR="008828A9" w:rsidRDefault="008828A9" w:rsidP="000A5DDB">
      <w:pPr>
        <w:pStyle w:val="BodyText"/>
      </w:pPr>
      <w:r>
        <w:lastRenderedPageBreak/>
        <w:t>The extent of skill gaps within the workforce within Greater Lincolnshire does not suggest a particularly significant issue compared with employers elsewhere in the UK.  However, these skill gaps are predominantly with regard to technical, practical or job specific skills and, as such, addressing them requires an ad hoc approach</w:t>
      </w:r>
      <w:r w:rsidR="000135FD">
        <w:t xml:space="preserve"> to employer needs</w:t>
      </w:r>
      <w:r>
        <w:t xml:space="preserve">. </w:t>
      </w:r>
    </w:p>
    <w:p w:rsidR="000135FD" w:rsidRDefault="000135FD" w:rsidP="000A5DDB">
      <w:pPr>
        <w:pStyle w:val="BodyText"/>
      </w:pPr>
      <w:r>
        <w:t>Levels of training within employer organisations are on a par with those across the UK.   Being able to spare employees more time out for training as well as the cost of training are the main obstacles to undertaking more training.  Employers that do not train are less likely to cite obstacles to training because they tend not to have considered providing training at all.</w:t>
      </w:r>
    </w:p>
    <w:p w:rsidR="000135FD" w:rsidRDefault="000135FD" w:rsidP="000A5DDB">
      <w:pPr>
        <w:pStyle w:val="BodyText"/>
      </w:pPr>
      <w:r>
        <w:t xml:space="preserve">Finance is mainly needed to fund business expansion or growth, rather than help employers out of difficulties.  Thus, for the local economy to thrive finance has to be widely available.  There are widespread expectations of investment over the next two years amongst private sector employers locally. </w:t>
      </w:r>
    </w:p>
    <w:p w:rsidR="000135FD" w:rsidRDefault="00607278" w:rsidP="000A5DDB">
      <w:pPr>
        <w:pStyle w:val="BodyText"/>
      </w:pPr>
      <w:r>
        <w:t>Nearly all Greater Lincolnshire employers are taking some steps to increase energy efficiency and this is very positive, even if they are doing so to reduce their own outgoings rather than for the greater good of the environment.</w:t>
      </w:r>
    </w:p>
    <w:p w:rsidR="00607278" w:rsidRDefault="00694164" w:rsidP="000A5DDB">
      <w:pPr>
        <w:pStyle w:val="BodyText"/>
      </w:pPr>
      <w:r>
        <w:t>A quarter of Greater Lincolnshire employers are concerned about flood risk and this is an issue that is seen to be of greater significance now than previously.</w:t>
      </w:r>
    </w:p>
    <w:p w:rsidR="00694164" w:rsidRDefault="00694164" w:rsidP="000A5DDB">
      <w:pPr>
        <w:pStyle w:val="BodyText"/>
      </w:pPr>
    </w:p>
    <w:p w:rsidR="00C53F61" w:rsidRPr="000A5DDB" w:rsidRDefault="00C53F61" w:rsidP="000A5DDB">
      <w:pPr>
        <w:pStyle w:val="BodyText"/>
      </w:pPr>
    </w:p>
    <w:p w:rsidR="007E3215" w:rsidRPr="007E3215" w:rsidRDefault="007E3215" w:rsidP="007E3215">
      <w:pPr>
        <w:pStyle w:val="BodyText"/>
      </w:pPr>
    </w:p>
    <w:p w:rsidR="005E46A2" w:rsidRDefault="005E46A2" w:rsidP="00755FA2">
      <w:pPr>
        <w:pStyle w:val="BodyText"/>
      </w:pPr>
    </w:p>
    <w:p w:rsidR="00E1514D" w:rsidRDefault="00E1514D" w:rsidP="00E1514D">
      <w:pPr>
        <w:pStyle w:val="BodyText"/>
      </w:pPr>
    </w:p>
    <w:p w:rsidR="00E1514D" w:rsidRDefault="00E1514D" w:rsidP="00E1514D">
      <w:pPr>
        <w:pStyle w:val="BodyText"/>
      </w:pPr>
    </w:p>
    <w:p w:rsidR="00E1514D" w:rsidRPr="00E1514D" w:rsidRDefault="00E1514D" w:rsidP="00E1514D">
      <w:pPr>
        <w:pStyle w:val="Heading1"/>
      </w:pPr>
      <w:bookmarkStart w:id="10" w:name="_Toc394057503"/>
      <w:r>
        <w:lastRenderedPageBreak/>
        <w:t>Background</w:t>
      </w:r>
      <w:bookmarkEnd w:id="10"/>
    </w:p>
    <w:p w:rsidR="0023584A" w:rsidRDefault="0023584A" w:rsidP="0023584A">
      <w:r>
        <w:t xml:space="preserve">The 2014 Greater Lincolnshire Employer Survey was commissioned in March 2014 by the Greater Lincolnshire Local Enterprise Partnership (GLLEP), Lincolnshire County Council and the Lincolnshire and Rutland Employment and Skills Board.   </w:t>
      </w:r>
      <w:r w:rsidRPr="00FC55A9">
        <w:t xml:space="preserve"> </w:t>
      </w:r>
    </w:p>
    <w:p w:rsidR="0023584A" w:rsidRDefault="0023584A" w:rsidP="0023584A">
      <w:r>
        <w:t>The aim of the survey was to collect robust, timely and reliable data on business performance, exportin</w:t>
      </w:r>
      <w:r w:rsidR="006D17DF">
        <w:t>g, investment, business support</w:t>
      </w:r>
      <w:r>
        <w:t>, finance, employment and skills, innovation and research and development.  The survey also covered issues relating to life in Lincolnshire and environmental factors.</w:t>
      </w:r>
    </w:p>
    <w:p w:rsidR="0023584A" w:rsidRDefault="0023584A" w:rsidP="009235FD">
      <w:pPr>
        <w:pStyle w:val="Heading2"/>
      </w:pPr>
      <w:bookmarkStart w:id="11" w:name="_Toc310512592"/>
      <w:bookmarkStart w:id="12" w:name="_Toc372182330"/>
      <w:bookmarkStart w:id="13" w:name="_Toc394057504"/>
      <w:r>
        <w:t>Method</w:t>
      </w:r>
      <w:bookmarkEnd w:id="11"/>
      <w:bookmarkEnd w:id="12"/>
      <w:bookmarkEnd w:id="13"/>
    </w:p>
    <w:p w:rsidR="0023584A" w:rsidRDefault="0023584A" w:rsidP="0023584A">
      <w:r>
        <w:t>Telephone interviews, with an average interview length of about 25 minutes, were conducted with 1,</w:t>
      </w:r>
      <w:r w:rsidR="00B621CC">
        <w:t>5</w:t>
      </w:r>
      <w:r>
        <w:t>15 employers</w:t>
      </w:r>
      <w:r w:rsidR="00B621CC">
        <w:t xml:space="preserve"> in the Greater Lincolnshire area</w:t>
      </w:r>
      <w:r>
        <w:t xml:space="preserve"> in April and May 2014.   Respondents included directors or proprietors or other senior managers with knowledge of the issues investigated.</w:t>
      </w:r>
      <w:r w:rsidR="00B621CC">
        <w:t xml:space="preserve">  </w:t>
      </w:r>
    </w:p>
    <w:p w:rsidR="0023584A" w:rsidRPr="00491A72" w:rsidRDefault="0023584A" w:rsidP="0023584A">
      <w:r>
        <w:t xml:space="preserve">The survey included both private and public sector organisations. Data reported is related to the establishment at which the respondent was based. This could be a headquarters (provided that the HQ was in </w:t>
      </w:r>
      <w:r w:rsidR="006D17DF">
        <w:t>the Greater Lincolnshire area</w:t>
      </w:r>
      <w:r>
        <w:t>) or a branch (depending on the outcome of the survey’s random sampling processes).</w:t>
      </w:r>
    </w:p>
    <w:p w:rsidR="0023584A" w:rsidRDefault="0023584A" w:rsidP="0023584A">
      <w:r>
        <w:t>A quota sample was designed, based on the local economy’s sectors (SIC 2007), its distribution of workplaces of different sizes (in terms of their employment), and Local Authority Districts</w:t>
      </w:r>
      <w:r w:rsidR="006D17DF">
        <w:t xml:space="preserve"> (LADs)</w:t>
      </w:r>
      <w:r>
        <w:t>.  The quotas for sector</w:t>
      </w:r>
      <w:r w:rsidR="006D17DF">
        <w:t>,</w:t>
      </w:r>
      <w:r>
        <w:t xml:space="preserve"> size</w:t>
      </w:r>
      <w:r w:rsidR="006D17DF">
        <w:t xml:space="preserve"> and LAD</w:t>
      </w:r>
      <w:r>
        <w:t xml:space="preserve"> were interlocking.    </w:t>
      </w:r>
    </w:p>
    <w:p w:rsidR="0023584A" w:rsidRDefault="0023584A" w:rsidP="0023584A">
      <w:r>
        <w:t>The s</w:t>
      </w:r>
      <w:r w:rsidR="00D23D49">
        <w:t xml:space="preserve">urvey data has been weighted </w:t>
      </w:r>
      <w:r>
        <w:t>(using information about the local economy from the Office for National Statistics – IDBR data</w:t>
      </w:r>
      <w:r w:rsidR="00D23D49">
        <w:t>, which was provided by GLLEP</w:t>
      </w:r>
      <w:r>
        <w:t xml:space="preserve">) so that the findings are fully representative of </w:t>
      </w:r>
      <w:r w:rsidR="00D23D49">
        <w:t>Greater Lincolnshire</w:t>
      </w:r>
      <w:r>
        <w:t xml:space="preserve"> employers.</w:t>
      </w:r>
    </w:p>
    <w:p w:rsidR="0023584A" w:rsidRDefault="0023584A" w:rsidP="0023584A">
      <w:r>
        <w:t>The structure of the unweighted sample achieved by the survey and its weighted profile by sector, size and district are summarised in the following table:</w:t>
      </w:r>
    </w:p>
    <w:p w:rsidR="0023584A" w:rsidRDefault="0023584A" w:rsidP="0023584A">
      <w:pPr>
        <w:pStyle w:val="Caption"/>
      </w:pPr>
      <w:r>
        <w:t xml:space="preserve">Table 2.1:   Sample profile </w:t>
      </w:r>
    </w:p>
    <w:tbl>
      <w:tblPr>
        <w:tblW w:w="9310"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3456"/>
        <w:gridCol w:w="1296"/>
        <w:gridCol w:w="34"/>
        <w:gridCol w:w="1559"/>
        <w:gridCol w:w="1275"/>
        <w:gridCol w:w="1690"/>
      </w:tblGrid>
      <w:tr w:rsidR="0023584A" w:rsidRPr="00CF3356" w:rsidTr="0002235B">
        <w:trPr>
          <w:tblHeader/>
        </w:trPr>
        <w:tc>
          <w:tcPr>
            <w:tcW w:w="3456" w:type="dxa"/>
            <w:tcBorders>
              <w:top w:val="single" w:sz="8" w:space="0" w:color="4F81BD"/>
            </w:tcBorders>
            <w:shd w:val="clear" w:color="auto" w:fill="4F81BD"/>
            <w:vAlign w:val="center"/>
          </w:tcPr>
          <w:p w:rsidR="0023584A" w:rsidRPr="00CF3356" w:rsidRDefault="0023584A" w:rsidP="0023584A">
            <w:pPr>
              <w:pStyle w:val="BodyText"/>
              <w:spacing w:before="60" w:after="60" w:line="240" w:lineRule="auto"/>
              <w:rPr>
                <w:b/>
                <w:bCs/>
                <w:color w:val="FFFFFF"/>
                <w:sz w:val="20"/>
              </w:rPr>
            </w:pPr>
          </w:p>
        </w:tc>
        <w:tc>
          <w:tcPr>
            <w:tcW w:w="1296" w:type="dxa"/>
            <w:tcBorders>
              <w:top w:val="single" w:sz="8" w:space="0" w:color="4F81BD"/>
              <w:bottom w:val="single" w:sz="8" w:space="0" w:color="4F81BD"/>
            </w:tcBorders>
            <w:shd w:val="clear" w:color="auto" w:fill="4F81BD"/>
            <w:vAlign w:val="center"/>
          </w:tcPr>
          <w:p w:rsidR="0023584A" w:rsidRPr="0002235B" w:rsidRDefault="0023584A" w:rsidP="0023584A">
            <w:pPr>
              <w:pStyle w:val="BodyText"/>
              <w:spacing w:before="60" w:after="60" w:line="240" w:lineRule="auto"/>
              <w:jc w:val="center"/>
              <w:rPr>
                <w:b/>
                <w:bCs/>
                <w:color w:val="FFFFFF"/>
              </w:rPr>
            </w:pPr>
            <w:r w:rsidRPr="0002235B">
              <w:rPr>
                <w:b/>
                <w:bCs/>
                <w:color w:val="FFFFFF"/>
              </w:rPr>
              <w:t>Achieved interviews no.</w:t>
            </w:r>
          </w:p>
        </w:tc>
        <w:tc>
          <w:tcPr>
            <w:tcW w:w="1593" w:type="dxa"/>
            <w:gridSpan w:val="2"/>
            <w:tcBorders>
              <w:top w:val="single" w:sz="8" w:space="0" w:color="4F81BD"/>
              <w:bottom w:val="single" w:sz="8" w:space="0" w:color="4F81BD"/>
            </w:tcBorders>
            <w:shd w:val="clear" w:color="auto" w:fill="4F81BD"/>
            <w:vAlign w:val="center"/>
          </w:tcPr>
          <w:p w:rsidR="0023584A" w:rsidRPr="0002235B" w:rsidRDefault="0023584A" w:rsidP="0023584A">
            <w:pPr>
              <w:pStyle w:val="BodyText"/>
              <w:spacing w:before="60" w:after="60" w:line="240" w:lineRule="auto"/>
              <w:jc w:val="center"/>
              <w:rPr>
                <w:b/>
                <w:bCs/>
                <w:color w:val="FFFFFF"/>
              </w:rPr>
            </w:pPr>
            <w:r w:rsidRPr="0002235B">
              <w:rPr>
                <w:b/>
                <w:bCs/>
                <w:color w:val="FFFFFF"/>
              </w:rPr>
              <w:t>Unweighted sample %</w:t>
            </w:r>
          </w:p>
        </w:tc>
        <w:tc>
          <w:tcPr>
            <w:tcW w:w="1275" w:type="dxa"/>
            <w:tcBorders>
              <w:top w:val="single" w:sz="8" w:space="0" w:color="4F81BD"/>
              <w:bottom w:val="single" w:sz="8" w:space="0" w:color="4F81BD"/>
            </w:tcBorders>
            <w:shd w:val="clear" w:color="auto" w:fill="4F81BD"/>
            <w:vAlign w:val="center"/>
          </w:tcPr>
          <w:p w:rsidR="0023584A" w:rsidRPr="0002235B" w:rsidRDefault="0023584A" w:rsidP="0023584A">
            <w:pPr>
              <w:pStyle w:val="BodyText"/>
              <w:spacing w:before="60" w:after="60" w:line="240" w:lineRule="auto"/>
              <w:jc w:val="center"/>
              <w:rPr>
                <w:b/>
                <w:bCs/>
                <w:color w:val="FFFFFF"/>
              </w:rPr>
            </w:pPr>
            <w:r w:rsidRPr="0002235B">
              <w:rPr>
                <w:b/>
                <w:bCs/>
                <w:color w:val="FFFFFF"/>
              </w:rPr>
              <w:t>Weighted no.</w:t>
            </w:r>
          </w:p>
        </w:tc>
        <w:tc>
          <w:tcPr>
            <w:tcW w:w="1690" w:type="dxa"/>
            <w:tcBorders>
              <w:top w:val="single" w:sz="8" w:space="0" w:color="4F81BD"/>
            </w:tcBorders>
            <w:shd w:val="clear" w:color="auto" w:fill="4F81BD"/>
            <w:vAlign w:val="center"/>
          </w:tcPr>
          <w:p w:rsidR="0023584A" w:rsidRPr="0002235B" w:rsidRDefault="0023584A" w:rsidP="0023584A">
            <w:pPr>
              <w:pStyle w:val="BodyText"/>
              <w:spacing w:before="60" w:after="60" w:line="240" w:lineRule="auto"/>
              <w:jc w:val="center"/>
              <w:rPr>
                <w:b/>
                <w:bCs/>
                <w:color w:val="FFFFFF"/>
              </w:rPr>
            </w:pPr>
            <w:r w:rsidRPr="0002235B">
              <w:rPr>
                <w:b/>
                <w:bCs/>
                <w:color w:val="FFFFFF"/>
              </w:rPr>
              <w:t>Weighted/ sample %</w:t>
            </w:r>
          </w:p>
        </w:tc>
      </w:tr>
      <w:tr w:rsidR="00D23D49" w:rsidRPr="00CF3356" w:rsidTr="0002235B">
        <w:trPr>
          <w:trHeight w:val="63"/>
        </w:trPr>
        <w:tc>
          <w:tcPr>
            <w:tcW w:w="3456" w:type="dxa"/>
            <w:tcBorders>
              <w:top w:val="single" w:sz="8" w:space="0" w:color="4F81BD"/>
              <w:bottom w:val="single" w:sz="8" w:space="0" w:color="4F81BD"/>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A Agriculture and Fishing</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spacing w:before="60" w:after="60" w:line="240" w:lineRule="auto"/>
              <w:jc w:val="center"/>
              <w:rPr>
                <w:rFonts w:cs="Arial"/>
                <w:sz w:val="20"/>
                <w:szCs w:val="20"/>
              </w:rPr>
            </w:pPr>
            <w:r>
              <w:rPr>
                <w:rFonts w:cs="Arial"/>
                <w:sz w:val="20"/>
                <w:szCs w:val="20"/>
              </w:rPr>
              <w:t>75</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5</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73</w:t>
            </w:r>
          </w:p>
        </w:tc>
        <w:tc>
          <w:tcPr>
            <w:tcW w:w="1690" w:type="dxa"/>
            <w:tcBorders>
              <w:top w:val="single" w:sz="8" w:space="0" w:color="4F81BD"/>
              <w:left w:val="single" w:sz="8" w:space="0" w:color="4F81BD"/>
              <w:bottom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5</w:t>
            </w:r>
          </w:p>
        </w:tc>
      </w:tr>
      <w:tr w:rsidR="00D23D49" w:rsidRPr="00CF3356" w:rsidTr="0002235B">
        <w:tc>
          <w:tcPr>
            <w:tcW w:w="3456" w:type="dxa"/>
            <w:tcBorders>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K, L, M, N Banking Finance and Insurance</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spacing w:before="60" w:after="60" w:line="240" w:lineRule="auto"/>
              <w:jc w:val="center"/>
              <w:rPr>
                <w:rFonts w:cs="Arial"/>
                <w:sz w:val="20"/>
                <w:szCs w:val="20"/>
              </w:rPr>
            </w:pPr>
            <w:r>
              <w:rPr>
                <w:rFonts w:cs="Arial"/>
                <w:sz w:val="20"/>
                <w:szCs w:val="20"/>
              </w:rPr>
              <w:t>325</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983D5E" w:rsidP="0023584A">
            <w:pPr>
              <w:pStyle w:val="BodyText"/>
              <w:spacing w:before="60" w:after="60" w:line="240" w:lineRule="auto"/>
              <w:jc w:val="center"/>
              <w:rPr>
                <w:sz w:val="20"/>
              </w:rPr>
            </w:pPr>
            <w:r>
              <w:rPr>
                <w:sz w:val="20"/>
              </w:rPr>
              <w:t>21</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238</w:t>
            </w:r>
          </w:p>
        </w:tc>
        <w:tc>
          <w:tcPr>
            <w:tcW w:w="1690" w:type="dxa"/>
            <w:tcBorders>
              <w:left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16</w:t>
            </w:r>
          </w:p>
        </w:tc>
      </w:tr>
      <w:tr w:rsidR="00D23D49" w:rsidRPr="00CF3356" w:rsidTr="0002235B">
        <w:tc>
          <w:tcPr>
            <w:tcW w:w="3456" w:type="dxa"/>
            <w:tcBorders>
              <w:top w:val="single" w:sz="8" w:space="0" w:color="4F81BD"/>
              <w:bottom w:val="single" w:sz="8" w:space="0" w:color="4F81BD"/>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F Construction</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spacing w:before="60" w:after="60" w:line="240" w:lineRule="auto"/>
              <w:jc w:val="center"/>
              <w:rPr>
                <w:rFonts w:cs="Arial"/>
                <w:sz w:val="20"/>
                <w:szCs w:val="20"/>
              </w:rPr>
            </w:pPr>
            <w:r>
              <w:rPr>
                <w:rFonts w:cs="Arial"/>
                <w:sz w:val="20"/>
                <w:szCs w:val="20"/>
              </w:rPr>
              <w:t>133</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B621CC" w:rsidP="0023584A">
            <w:pPr>
              <w:pStyle w:val="BodyText"/>
              <w:spacing w:before="60" w:after="60" w:line="240" w:lineRule="auto"/>
              <w:jc w:val="center"/>
              <w:rPr>
                <w:sz w:val="20"/>
              </w:rPr>
            </w:pPr>
            <w:r>
              <w:rPr>
                <w:sz w:val="20"/>
              </w:rPr>
              <w:t>9</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96</w:t>
            </w:r>
          </w:p>
        </w:tc>
        <w:tc>
          <w:tcPr>
            <w:tcW w:w="1690" w:type="dxa"/>
            <w:tcBorders>
              <w:top w:val="single" w:sz="8" w:space="0" w:color="4F81BD"/>
              <w:left w:val="single" w:sz="8" w:space="0" w:color="4F81BD"/>
              <w:bottom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6</w:t>
            </w:r>
          </w:p>
        </w:tc>
      </w:tr>
      <w:tr w:rsidR="00D23D49" w:rsidRPr="00CF3356" w:rsidTr="0002235B">
        <w:tc>
          <w:tcPr>
            <w:tcW w:w="3456" w:type="dxa"/>
            <w:tcBorders>
              <w:bottom w:val="single" w:sz="8" w:space="0" w:color="4F81BD"/>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G, I Distribution Hotels and Restaurants</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spacing w:before="60" w:after="60" w:line="240" w:lineRule="auto"/>
              <w:jc w:val="center"/>
              <w:rPr>
                <w:rFonts w:cs="Arial"/>
                <w:sz w:val="20"/>
                <w:szCs w:val="20"/>
              </w:rPr>
            </w:pPr>
            <w:r>
              <w:rPr>
                <w:rFonts w:cs="Arial"/>
                <w:sz w:val="20"/>
                <w:szCs w:val="20"/>
              </w:rPr>
              <w:t>461</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983D5E" w:rsidP="00B621CC">
            <w:pPr>
              <w:pStyle w:val="BodyText"/>
              <w:spacing w:before="60" w:after="60" w:line="240" w:lineRule="auto"/>
              <w:jc w:val="center"/>
              <w:rPr>
                <w:sz w:val="20"/>
              </w:rPr>
            </w:pPr>
            <w:r>
              <w:rPr>
                <w:sz w:val="20"/>
              </w:rPr>
              <w:t>3</w:t>
            </w:r>
            <w:r w:rsidR="00B621CC">
              <w:rPr>
                <w:sz w:val="20"/>
              </w:rPr>
              <w:t>0</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550</w:t>
            </w:r>
          </w:p>
        </w:tc>
        <w:tc>
          <w:tcPr>
            <w:tcW w:w="1690" w:type="dxa"/>
            <w:tcBorders>
              <w:left w:val="single" w:sz="8" w:space="0" w:color="4F81BD"/>
              <w:bottom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36</w:t>
            </w:r>
          </w:p>
        </w:tc>
      </w:tr>
      <w:tr w:rsidR="00D23D49" w:rsidRPr="00CF3356" w:rsidTr="0002235B">
        <w:tc>
          <w:tcPr>
            <w:tcW w:w="3456" w:type="dxa"/>
            <w:tcBorders>
              <w:top w:val="single" w:sz="8" w:space="0" w:color="4F81BD"/>
              <w:bottom w:val="single" w:sz="8" w:space="0" w:color="4F81BD"/>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B, D,E Energy and Water</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B621CC" w:rsidP="0023584A">
            <w:pPr>
              <w:spacing w:before="60" w:after="60" w:line="240" w:lineRule="auto"/>
              <w:jc w:val="center"/>
              <w:rPr>
                <w:rFonts w:cs="Arial"/>
                <w:sz w:val="20"/>
                <w:szCs w:val="20"/>
              </w:rPr>
            </w:pPr>
            <w:r>
              <w:rPr>
                <w:rFonts w:cs="Arial"/>
                <w:sz w:val="20"/>
                <w:szCs w:val="20"/>
              </w:rPr>
              <w:t>18</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983D5E" w:rsidP="0023584A">
            <w:pPr>
              <w:pStyle w:val="BodyText"/>
              <w:spacing w:before="60" w:after="60" w:line="240" w:lineRule="auto"/>
              <w:jc w:val="center"/>
              <w:rPr>
                <w:sz w:val="20"/>
              </w:rPr>
            </w:pPr>
            <w:r>
              <w:rPr>
                <w:sz w:val="20"/>
              </w:rPr>
              <w:t>1</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12</w:t>
            </w:r>
          </w:p>
        </w:tc>
        <w:tc>
          <w:tcPr>
            <w:tcW w:w="1690" w:type="dxa"/>
            <w:tcBorders>
              <w:top w:val="single" w:sz="8" w:space="0" w:color="4F81BD"/>
              <w:left w:val="single" w:sz="8" w:space="0" w:color="4F81BD"/>
              <w:bottom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1</w:t>
            </w:r>
          </w:p>
        </w:tc>
      </w:tr>
      <w:tr w:rsidR="00D23D49" w:rsidRPr="00CF3356" w:rsidTr="0002235B">
        <w:tc>
          <w:tcPr>
            <w:tcW w:w="3456" w:type="dxa"/>
            <w:tcBorders>
              <w:top w:val="single" w:sz="8" w:space="0" w:color="4F81BD"/>
              <w:bottom w:val="single" w:sz="8" w:space="0" w:color="4F81BD"/>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C Manufacturing</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B621CC" w:rsidP="0023584A">
            <w:pPr>
              <w:spacing w:before="60" w:after="60" w:line="240" w:lineRule="auto"/>
              <w:jc w:val="center"/>
              <w:rPr>
                <w:rFonts w:cs="Arial"/>
                <w:sz w:val="20"/>
                <w:szCs w:val="20"/>
              </w:rPr>
            </w:pPr>
            <w:r>
              <w:rPr>
                <w:rFonts w:cs="Arial"/>
                <w:sz w:val="20"/>
                <w:szCs w:val="20"/>
              </w:rPr>
              <w:t>89</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983D5E" w:rsidP="0023584A">
            <w:pPr>
              <w:pStyle w:val="BodyText"/>
              <w:spacing w:before="60" w:after="60" w:line="240" w:lineRule="auto"/>
              <w:jc w:val="center"/>
              <w:rPr>
                <w:sz w:val="20"/>
              </w:rPr>
            </w:pPr>
            <w:r>
              <w:rPr>
                <w:sz w:val="20"/>
              </w:rPr>
              <w:t>6</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111</w:t>
            </w:r>
          </w:p>
        </w:tc>
        <w:tc>
          <w:tcPr>
            <w:tcW w:w="1690" w:type="dxa"/>
            <w:tcBorders>
              <w:top w:val="single" w:sz="8" w:space="0" w:color="4F81BD"/>
              <w:left w:val="single" w:sz="8" w:space="0" w:color="4F81BD"/>
              <w:bottom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7</w:t>
            </w:r>
          </w:p>
        </w:tc>
      </w:tr>
      <w:tr w:rsidR="00D23D49" w:rsidRPr="00CF3356" w:rsidTr="0002235B">
        <w:tc>
          <w:tcPr>
            <w:tcW w:w="3456" w:type="dxa"/>
            <w:tcBorders>
              <w:top w:val="single" w:sz="8" w:space="0" w:color="4F81BD"/>
              <w:bottom w:val="single" w:sz="8" w:space="0" w:color="4F81BD"/>
              <w:right w:val="single" w:sz="8" w:space="0" w:color="4F81BD"/>
            </w:tcBorders>
            <w:vAlign w:val="center"/>
          </w:tcPr>
          <w:p w:rsidR="00D23D49" w:rsidRPr="00D23D49" w:rsidRDefault="00D23D49" w:rsidP="00D23D49">
            <w:pPr>
              <w:spacing w:before="20" w:after="20" w:line="240" w:lineRule="auto"/>
              <w:rPr>
                <w:rFonts w:cstheme="minorHAnsi"/>
                <w:color w:val="000000"/>
                <w:sz w:val="20"/>
              </w:rPr>
            </w:pPr>
            <w:r w:rsidRPr="00D23D49">
              <w:rPr>
                <w:rFonts w:cstheme="minorHAnsi"/>
                <w:color w:val="000000"/>
                <w:sz w:val="20"/>
              </w:rPr>
              <w:t>R,S,T,U Other Services</w:t>
            </w:r>
          </w:p>
        </w:tc>
        <w:tc>
          <w:tcPr>
            <w:tcW w:w="1296"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B621CC" w:rsidP="0023584A">
            <w:pPr>
              <w:spacing w:before="60" w:after="60" w:line="240" w:lineRule="auto"/>
              <w:jc w:val="center"/>
              <w:rPr>
                <w:rFonts w:cs="Arial"/>
                <w:sz w:val="20"/>
                <w:szCs w:val="20"/>
              </w:rPr>
            </w:pPr>
            <w:r>
              <w:rPr>
                <w:rFonts w:cs="Arial"/>
                <w:sz w:val="20"/>
                <w:szCs w:val="20"/>
              </w:rPr>
              <w:t>88</w:t>
            </w:r>
          </w:p>
        </w:tc>
        <w:tc>
          <w:tcPr>
            <w:tcW w:w="1593" w:type="dxa"/>
            <w:gridSpan w:val="2"/>
            <w:tcBorders>
              <w:top w:val="single" w:sz="8" w:space="0" w:color="4F81BD"/>
              <w:left w:val="single" w:sz="8" w:space="0" w:color="4F81BD"/>
              <w:bottom w:val="single" w:sz="8" w:space="0" w:color="4F81BD"/>
              <w:right w:val="single" w:sz="8" w:space="0" w:color="4F81BD"/>
            </w:tcBorders>
            <w:vAlign w:val="center"/>
          </w:tcPr>
          <w:p w:rsidR="00D23D49" w:rsidRPr="00CF3356" w:rsidRDefault="00983D5E" w:rsidP="0023584A">
            <w:pPr>
              <w:pStyle w:val="BodyText"/>
              <w:spacing w:before="60" w:after="60" w:line="240" w:lineRule="auto"/>
              <w:jc w:val="center"/>
              <w:rPr>
                <w:sz w:val="20"/>
              </w:rPr>
            </w:pPr>
            <w:r>
              <w:rPr>
                <w:sz w:val="20"/>
              </w:rPr>
              <w:t>6</w:t>
            </w:r>
          </w:p>
        </w:tc>
        <w:tc>
          <w:tcPr>
            <w:tcW w:w="1275" w:type="dxa"/>
            <w:tcBorders>
              <w:top w:val="single" w:sz="8" w:space="0" w:color="4F81BD"/>
              <w:left w:val="single" w:sz="8" w:space="0" w:color="4F81BD"/>
              <w:bottom w:val="single" w:sz="8" w:space="0" w:color="4F81BD"/>
              <w:right w:val="single" w:sz="8" w:space="0" w:color="4F81BD"/>
            </w:tcBorders>
            <w:vAlign w:val="center"/>
          </w:tcPr>
          <w:p w:rsidR="00D23D49" w:rsidRPr="00CF3356" w:rsidRDefault="00780C92" w:rsidP="0023584A">
            <w:pPr>
              <w:pStyle w:val="BodyText"/>
              <w:spacing w:before="60" w:after="60" w:line="240" w:lineRule="auto"/>
              <w:jc w:val="center"/>
              <w:rPr>
                <w:sz w:val="20"/>
              </w:rPr>
            </w:pPr>
            <w:r>
              <w:rPr>
                <w:sz w:val="20"/>
              </w:rPr>
              <w:t>158</w:t>
            </w:r>
          </w:p>
        </w:tc>
        <w:tc>
          <w:tcPr>
            <w:tcW w:w="1690" w:type="dxa"/>
            <w:tcBorders>
              <w:top w:val="single" w:sz="8" w:space="0" w:color="4F81BD"/>
              <w:left w:val="single" w:sz="8" w:space="0" w:color="4F81BD"/>
              <w:bottom w:val="single" w:sz="8" w:space="0" w:color="4F81BD"/>
            </w:tcBorders>
            <w:vAlign w:val="center"/>
          </w:tcPr>
          <w:p w:rsidR="00D23D49" w:rsidRPr="00CF3356" w:rsidRDefault="00E22864" w:rsidP="0023584A">
            <w:pPr>
              <w:pStyle w:val="BodyText"/>
              <w:spacing w:before="60" w:after="60" w:line="240" w:lineRule="auto"/>
              <w:jc w:val="center"/>
              <w:rPr>
                <w:sz w:val="20"/>
              </w:rPr>
            </w:pPr>
            <w:r>
              <w:rPr>
                <w:sz w:val="20"/>
              </w:rPr>
              <w:t>10</w:t>
            </w:r>
          </w:p>
        </w:tc>
      </w:tr>
      <w:tr w:rsidR="0023584A" w:rsidRPr="001C0332" w:rsidTr="0002235B">
        <w:tc>
          <w:tcPr>
            <w:tcW w:w="9310" w:type="dxa"/>
            <w:gridSpan w:val="6"/>
            <w:tcBorders>
              <w:bottom w:val="single" w:sz="8" w:space="0" w:color="4F81BD"/>
            </w:tcBorders>
            <w:vAlign w:val="center"/>
          </w:tcPr>
          <w:p w:rsidR="0023584A" w:rsidRPr="001C0332" w:rsidRDefault="0023584A" w:rsidP="0023584A">
            <w:pPr>
              <w:pStyle w:val="BodyText"/>
              <w:spacing w:before="60" w:after="60" w:line="240" w:lineRule="auto"/>
              <w:jc w:val="center"/>
              <w:rPr>
                <w:b/>
                <w:bCs/>
                <w:sz w:val="16"/>
                <w:szCs w:val="16"/>
              </w:rPr>
            </w:pPr>
          </w:p>
        </w:tc>
      </w:tr>
      <w:tr w:rsidR="0023584A" w:rsidRPr="00CF3356" w:rsidTr="0002235B">
        <w:tc>
          <w:tcPr>
            <w:tcW w:w="3456" w:type="dxa"/>
            <w:tcBorders>
              <w:top w:val="single" w:sz="8" w:space="0" w:color="4F81BD"/>
              <w:right w:val="single" w:sz="8" w:space="0" w:color="4F81BD"/>
            </w:tcBorders>
            <w:vAlign w:val="center"/>
          </w:tcPr>
          <w:p w:rsidR="0023584A" w:rsidRPr="00CF3356" w:rsidRDefault="0030295F" w:rsidP="0023584A">
            <w:pPr>
              <w:pStyle w:val="BodyText"/>
              <w:spacing w:before="60" w:after="60" w:line="240" w:lineRule="auto"/>
              <w:rPr>
                <w:b/>
                <w:bCs/>
                <w:sz w:val="20"/>
                <w:szCs w:val="20"/>
              </w:rPr>
            </w:pPr>
            <w:r>
              <w:rPr>
                <w:bCs/>
                <w:sz w:val="20"/>
                <w:szCs w:val="20"/>
              </w:rPr>
              <w:t>2</w:t>
            </w:r>
            <w:r w:rsidR="0023584A">
              <w:rPr>
                <w:bCs/>
                <w:sz w:val="20"/>
                <w:szCs w:val="20"/>
              </w:rPr>
              <w:t>-9</w:t>
            </w:r>
            <w:r w:rsidR="0023584A" w:rsidRPr="00CF3356">
              <w:rPr>
                <w:bCs/>
                <w:sz w:val="20"/>
                <w:szCs w:val="20"/>
              </w:rPr>
              <w:t xml:space="preserve"> employees</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23584A" w:rsidRPr="00CF3356" w:rsidRDefault="00E22864" w:rsidP="00B621CC">
            <w:pPr>
              <w:pStyle w:val="BodyText"/>
              <w:spacing w:before="60" w:after="60" w:line="240" w:lineRule="auto"/>
              <w:jc w:val="center"/>
              <w:rPr>
                <w:sz w:val="20"/>
              </w:rPr>
            </w:pPr>
            <w:r>
              <w:rPr>
                <w:sz w:val="20"/>
              </w:rPr>
              <w:t>10</w:t>
            </w:r>
            <w:r w:rsidR="00B621CC">
              <w:rPr>
                <w:sz w:val="20"/>
              </w:rPr>
              <w:t>18</w:t>
            </w:r>
          </w:p>
        </w:tc>
        <w:tc>
          <w:tcPr>
            <w:tcW w:w="1559"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67</w:t>
            </w:r>
          </w:p>
        </w:tc>
        <w:tc>
          <w:tcPr>
            <w:tcW w:w="1275"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780C92" w:rsidP="0023584A">
            <w:pPr>
              <w:pStyle w:val="BodyText"/>
              <w:spacing w:before="60" w:after="60" w:line="240" w:lineRule="auto"/>
              <w:jc w:val="center"/>
              <w:rPr>
                <w:sz w:val="20"/>
              </w:rPr>
            </w:pPr>
            <w:r>
              <w:rPr>
                <w:sz w:val="20"/>
              </w:rPr>
              <w:t>1107</w:t>
            </w:r>
          </w:p>
        </w:tc>
        <w:tc>
          <w:tcPr>
            <w:tcW w:w="1690" w:type="dxa"/>
            <w:tcBorders>
              <w:top w:val="single" w:sz="8" w:space="0" w:color="4F81BD"/>
              <w:left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73</w:t>
            </w:r>
          </w:p>
        </w:tc>
      </w:tr>
      <w:tr w:rsidR="0023584A" w:rsidRPr="00CF3356" w:rsidTr="0002235B">
        <w:tc>
          <w:tcPr>
            <w:tcW w:w="3456" w:type="dxa"/>
            <w:tcBorders>
              <w:top w:val="single" w:sz="8" w:space="0" w:color="4F81BD"/>
              <w:bottom w:val="single" w:sz="8" w:space="0" w:color="4F81BD"/>
              <w:right w:val="single" w:sz="8" w:space="0" w:color="4F81BD"/>
            </w:tcBorders>
            <w:vAlign w:val="center"/>
          </w:tcPr>
          <w:p w:rsidR="0023584A" w:rsidRPr="00CF3356" w:rsidRDefault="0023584A" w:rsidP="0023584A">
            <w:pPr>
              <w:pStyle w:val="BodyText"/>
              <w:spacing w:before="60" w:after="60" w:line="240" w:lineRule="auto"/>
              <w:rPr>
                <w:b/>
                <w:bCs/>
                <w:sz w:val="20"/>
                <w:szCs w:val="20"/>
              </w:rPr>
            </w:pPr>
            <w:r>
              <w:rPr>
                <w:bCs/>
                <w:sz w:val="20"/>
                <w:szCs w:val="20"/>
              </w:rPr>
              <w:lastRenderedPageBreak/>
              <w:t>10-24</w:t>
            </w:r>
            <w:r w:rsidRPr="00CF3356">
              <w:rPr>
                <w:bCs/>
                <w:sz w:val="20"/>
                <w:szCs w:val="20"/>
              </w:rPr>
              <w:t xml:space="preserve"> employees</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23584A" w:rsidRPr="00CF3356" w:rsidRDefault="00E22864" w:rsidP="00B621CC">
            <w:pPr>
              <w:pStyle w:val="BodyText"/>
              <w:spacing w:before="60" w:after="60" w:line="240" w:lineRule="auto"/>
              <w:jc w:val="center"/>
              <w:rPr>
                <w:sz w:val="20"/>
              </w:rPr>
            </w:pPr>
            <w:r>
              <w:rPr>
                <w:sz w:val="20"/>
              </w:rPr>
              <w:t>3</w:t>
            </w:r>
            <w:r w:rsidR="00B621CC">
              <w:rPr>
                <w:sz w:val="20"/>
              </w:rPr>
              <w:t>07</w:t>
            </w:r>
          </w:p>
        </w:tc>
        <w:tc>
          <w:tcPr>
            <w:tcW w:w="1559"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20</w:t>
            </w:r>
          </w:p>
        </w:tc>
        <w:tc>
          <w:tcPr>
            <w:tcW w:w="1275"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780C92" w:rsidP="0023584A">
            <w:pPr>
              <w:pStyle w:val="BodyText"/>
              <w:spacing w:before="60" w:after="60" w:line="240" w:lineRule="auto"/>
              <w:jc w:val="center"/>
              <w:rPr>
                <w:sz w:val="20"/>
              </w:rPr>
            </w:pPr>
            <w:r>
              <w:rPr>
                <w:sz w:val="20"/>
              </w:rPr>
              <w:t>249</w:t>
            </w:r>
          </w:p>
        </w:tc>
        <w:tc>
          <w:tcPr>
            <w:tcW w:w="1690" w:type="dxa"/>
            <w:tcBorders>
              <w:top w:val="single" w:sz="8" w:space="0" w:color="4F81BD"/>
              <w:left w:val="single" w:sz="8" w:space="0" w:color="4F81BD"/>
              <w:bottom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16</w:t>
            </w:r>
          </w:p>
        </w:tc>
      </w:tr>
      <w:tr w:rsidR="0023584A" w:rsidRPr="00CF3356" w:rsidTr="0002235B">
        <w:tc>
          <w:tcPr>
            <w:tcW w:w="3456" w:type="dxa"/>
            <w:tcBorders>
              <w:right w:val="single" w:sz="8" w:space="0" w:color="4F81BD"/>
            </w:tcBorders>
            <w:vAlign w:val="center"/>
          </w:tcPr>
          <w:p w:rsidR="0023584A" w:rsidRPr="00CF3356" w:rsidRDefault="0023584A" w:rsidP="0023584A">
            <w:pPr>
              <w:pStyle w:val="BodyText"/>
              <w:spacing w:before="60" w:after="60" w:line="240" w:lineRule="auto"/>
              <w:rPr>
                <w:b/>
                <w:bCs/>
                <w:sz w:val="20"/>
                <w:szCs w:val="20"/>
              </w:rPr>
            </w:pPr>
            <w:r w:rsidRPr="00CF3356">
              <w:rPr>
                <w:bCs/>
                <w:sz w:val="20"/>
                <w:szCs w:val="20"/>
              </w:rPr>
              <w:t>25-99 employees</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23584A" w:rsidRPr="00CF3356" w:rsidRDefault="00B621CC" w:rsidP="0023584A">
            <w:pPr>
              <w:pStyle w:val="BodyText"/>
              <w:spacing w:before="60" w:after="60" w:line="240" w:lineRule="auto"/>
              <w:jc w:val="center"/>
              <w:rPr>
                <w:sz w:val="20"/>
              </w:rPr>
            </w:pPr>
            <w:r>
              <w:rPr>
                <w:sz w:val="20"/>
              </w:rPr>
              <w:t>151</w:t>
            </w:r>
          </w:p>
        </w:tc>
        <w:tc>
          <w:tcPr>
            <w:tcW w:w="1559"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10</w:t>
            </w:r>
          </w:p>
        </w:tc>
        <w:tc>
          <w:tcPr>
            <w:tcW w:w="1275"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780C92" w:rsidP="0023584A">
            <w:pPr>
              <w:pStyle w:val="BodyText"/>
              <w:spacing w:before="60" w:after="60" w:line="240" w:lineRule="auto"/>
              <w:jc w:val="center"/>
              <w:rPr>
                <w:sz w:val="20"/>
              </w:rPr>
            </w:pPr>
            <w:r>
              <w:rPr>
                <w:sz w:val="20"/>
              </w:rPr>
              <w:t>130</w:t>
            </w:r>
          </w:p>
        </w:tc>
        <w:tc>
          <w:tcPr>
            <w:tcW w:w="1690" w:type="dxa"/>
            <w:tcBorders>
              <w:left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9</w:t>
            </w:r>
          </w:p>
        </w:tc>
      </w:tr>
      <w:tr w:rsidR="0023584A" w:rsidRPr="00CF3356" w:rsidTr="0002235B">
        <w:tc>
          <w:tcPr>
            <w:tcW w:w="3456" w:type="dxa"/>
            <w:tcBorders>
              <w:top w:val="single" w:sz="8" w:space="0" w:color="4F81BD"/>
              <w:bottom w:val="single" w:sz="8" w:space="0" w:color="4F81BD"/>
              <w:right w:val="single" w:sz="8" w:space="0" w:color="4F81BD"/>
            </w:tcBorders>
            <w:vAlign w:val="center"/>
          </w:tcPr>
          <w:p w:rsidR="0023584A" w:rsidRPr="00CF3356" w:rsidRDefault="0023584A" w:rsidP="0030295F">
            <w:pPr>
              <w:pStyle w:val="BodyText"/>
              <w:spacing w:before="60" w:after="60" w:line="240" w:lineRule="auto"/>
              <w:rPr>
                <w:b/>
                <w:bCs/>
                <w:sz w:val="20"/>
                <w:szCs w:val="20"/>
              </w:rPr>
            </w:pPr>
            <w:r w:rsidRPr="00CF3356">
              <w:rPr>
                <w:bCs/>
                <w:sz w:val="20"/>
                <w:szCs w:val="20"/>
              </w:rPr>
              <w:t>100</w:t>
            </w:r>
            <w:r w:rsidR="0030295F">
              <w:rPr>
                <w:bCs/>
                <w:sz w:val="20"/>
                <w:szCs w:val="20"/>
              </w:rPr>
              <w:t>-249</w:t>
            </w:r>
            <w:r w:rsidRPr="00CF3356">
              <w:rPr>
                <w:bCs/>
                <w:sz w:val="20"/>
                <w:szCs w:val="20"/>
              </w:rPr>
              <w:t xml:space="preserve"> employees</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23584A" w:rsidRPr="00CF3356" w:rsidRDefault="006A6DDF" w:rsidP="006A6DDF">
            <w:pPr>
              <w:pStyle w:val="BodyText"/>
              <w:spacing w:before="60" w:after="60" w:line="240" w:lineRule="auto"/>
              <w:jc w:val="center"/>
              <w:rPr>
                <w:sz w:val="20"/>
              </w:rPr>
            </w:pPr>
            <w:r>
              <w:rPr>
                <w:sz w:val="20"/>
              </w:rPr>
              <w:t>24</w:t>
            </w:r>
          </w:p>
        </w:tc>
        <w:tc>
          <w:tcPr>
            <w:tcW w:w="1559"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2</w:t>
            </w:r>
          </w:p>
        </w:tc>
        <w:tc>
          <w:tcPr>
            <w:tcW w:w="1275" w:type="dxa"/>
            <w:tcBorders>
              <w:top w:val="single" w:sz="8" w:space="0" w:color="4F81BD"/>
              <w:left w:val="single" w:sz="8" w:space="0" w:color="4F81BD"/>
              <w:bottom w:val="single" w:sz="8" w:space="0" w:color="4F81BD"/>
              <w:right w:val="single" w:sz="8" w:space="0" w:color="4F81BD"/>
            </w:tcBorders>
            <w:vAlign w:val="center"/>
          </w:tcPr>
          <w:p w:rsidR="0023584A" w:rsidRPr="00CF3356" w:rsidRDefault="00780C92" w:rsidP="0023584A">
            <w:pPr>
              <w:pStyle w:val="BodyText"/>
              <w:spacing w:before="60" w:after="60" w:line="240" w:lineRule="auto"/>
              <w:jc w:val="center"/>
              <w:rPr>
                <w:sz w:val="20"/>
              </w:rPr>
            </w:pPr>
            <w:r>
              <w:rPr>
                <w:sz w:val="20"/>
              </w:rPr>
              <w:t>18</w:t>
            </w:r>
          </w:p>
        </w:tc>
        <w:tc>
          <w:tcPr>
            <w:tcW w:w="1690" w:type="dxa"/>
            <w:tcBorders>
              <w:top w:val="single" w:sz="8" w:space="0" w:color="4F81BD"/>
              <w:left w:val="single" w:sz="8" w:space="0" w:color="4F81BD"/>
              <w:bottom w:val="single" w:sz="8" w:space="0" w:color="4F81BD"/>
            </w:tcBorders>
            <w:vAlign w:val="center"/>
          </w:tcPr>
          <w:p w:rsidR="0023584A" w:rsidRPr="00CF3356" w:rsidRDefault="00E22864" w:rsidP="0023584A">
            <w:pPr>
              <w:pStyle w:val="BodyText"/>
              <w:spacing w:before="60" w:after="60" w:line="240" w:lineRule="auto"/>
              <w:jc w:val="center"/>
              <w:rPr>
                <w:sz w:val="20"/>
              </w:rPr>
            </w:pPr>
            <w:r>
              <w:rPr>
                <w:sz w:val="20"/>
              </w:rPr>
              <w:t>1</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CF3356" w:rsidRDefault="0030295F" w:rsidP="0030295F">
            <w:pPr>
              <w:pStyle w:val="BodyText"/>
              <w:spacing w:before="60" w:after="60" w:line="240" w:lineRule="auto"/>
              <w:rPr>
                <w:bCs/>
                <w:sz w:val="20"/>
                <w:szCs w:val="20"/>
              </w:rPr>
            </w:pPr>
            <w:r>
              <w:rPr>
                <w:bCs/>
                <w:sz w:val="20"/>
                <w:szCs w:val="20"/>
              </w:rPr>
              <w:t>250+ employees</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6A6DDF" w:rsidP="0023584A">
            <w:pPr>
              <w:pStyle w:val="BodyText"/>
              <w:spacing w:before="60" w:after="60" w:line="240" w:lineRule="auto"/>
              <w:jc w:val="center"/>
              <w:rPr>
                <w:sz w:val="20"/>
              </w:rPr>
            </w:pPr>
            <w:r>
              <w:rPr>
                <w:sz w:val="20"/>
              </w:rPr>
              <w:t>15</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780C92">
            <w:pPr>
              <w:pStyle w:val="BodyText"/>
              <w:spacing w:before="60" w:after="60" w:line="240" w:lineRule="auto"/>
              <w:jc w:val="center"/>
              <w:rPr>
                <w:sz w:val="20"/>
              </w:rPr>
            </w:pPr>
            <w:r>
              <w:rPr>
                <w:sz w:val="20"/>
              </w:rPr>
              <w:t>1</w:t>
            </w:r>
            <w:r w:rsidR="00780C92">
              <w:rPr>
                <w:sz w:val="20"/>
              </w:rPr>
              <w:t>1</w:t>
            </w:r>
          </w:p>
        </w:tc>
        <w:tc>
          <w:tcPr>
            <w:tcW w:w="1690" w:type="dxa"/>
            <w:tcBorders>
              <w:top w:val="single" w:sz="8" w:space="0" w:color="4F81BD"/>
              <w:left w:val="single" w:sz="8" w:space="0" w:color="4F81BD"/>
              <w:bottom w:val="single" w:sz="8" w:space="0" w:color="4F81BD"/>
            </w:tcBorders>
            <w:vAlign w:val="center"/>
          </w:tcPr>
          <w:p w:rsidR="0030295F" w:rsidRDefault="00E22864" w:rsidP="0023584A">
            <w:pPr>
              <w:pStyle w:val="BodyText"/>
              <w:spacing w:before="60" w:after="60" w:line="240" w:lineRule="auto"/>
              <w:jc w:val="center"/>
              <w:rPr>
                <w:sz w:val="20"/>
              </w:rPr>
            </w:pPr>
            <w:r>
              <w:rPr>
                <w:sz w:val="20"/>
              </w:rPr>
              <w:t>1</w:t>
            </w:r>
          </w:p>
        </w:tc>
      </w:tr>
      <w:tr w:rsidR="0023584A" w:rsidRPr="001C0332" w:rsidTr="0002235B">
        <w:tc>
          <w:tcPr>
            <w:tcW w:w="9310" w:type="dxa"/>
            <w:gridSpan w:val="6"/>
            <w:vAlign w:val="center"/>
          </w:tcPr>
          <w:p w:rsidR="0023584A" w:rsidRPr="001C0332" w:rsidRDefault="0023584A" w:rsidP="0023584A">
            <w:pPr>
              <w:pStyle w:val="BodyText"/>
              <w:spacing w:before="60" w:after="60" w:line="240" w:lineRule="auto"/>
              <w:jc w:val="center"/>
              <w:rPr>
                <w:b/>
                <w:bCs/>
                <w:sz w:val="16"/>
                <w:szCs w:val="16"/>
              </w:rPr>
            </w:pP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Boston</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spacing w:before="60" w:after="60" w:line="240" w:lineRule="auto"/>
              <w:jc w:val="center"/>
              <w:rPr>
                <w:rFonts w:cs="Arial"/>
                <w:sz w:val="20"/>
                <w:szCs w:val="20"/>
              </w:rPr>
            </w:pPr>
            <w:r>
              <w:rPr>
                <w:rFonts w:cs="Arial"/>
                <w:sz w:val="20"/>
                <w:szCs w:val="20"/>
              </w:rPr>
              <w:t>130</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8</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97</w:t>
            </w:r>
          </w:p>
        </w:tc>
        <w:tc>
          <w:tcPr>
            <w:tcW w:w="1690" w:type="dxa"/>
            <w:tcBorders>
              <w:top w:val="single" w:sz="8" w:space="0" w:color="4F81BD"/>
              <w:left w:val="single" w:sz="8" w:space="0" w:color="4F81BD"/>
              <w:bottom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6</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East Lindsey</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spacing w:before="60" w:after="60" w:line="240" w:lineRule="auto"/>
              <w:jc w:val="center"/>
              <w:rPr>
                <w:rFonts w:cs="Arial"/>
                <w:sz w:val="20"/>
                <w:szCs w:val="20"/>
              </w:rPr>
            </w:pPr>
            <w:r>
              <w:rPr>
                <w:rFonts w:cs="Arial"/>
                <w:sz w:val="20"/>
                <w:szCs w:val="20"/>
              </w:rPr>
              <w:t>192</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12</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243</w:t>
            </w:r>
          </w:p>
        </w:tc>
        <w:tc>
          <w:tcPr>
            <w:tcW w:w="1690" w:type="dxa"/>
            <w:tcBorders>
              <w:top w:val="single" w:sz="8" w:space="0" w:color="4F81BD"/>
              <w:left w:val="single" w:sz="8" w:space="0" w:color="4F81BD"/>
              <w:bottom w:val="single" w:sz="8" w:space="0" w:color="4F81BD"/>
            </w:tcBorders>
            <w:vAlign w:val="center"/>
          </w:tcPr>
          <w:p w:rsidR="0030295F" w:rsidRDefault="00E22864" w:rsidP="00780C92">
            <w:pPr>
              <w:pStyle w:val="BodyText"/>
              <w:spacing w:before="60" w:after="60" w:line="240" w:lineRule="auto"/>
              <w:jc w:val="center"/>
              <w:rPr>
                <w:sz w:val="20"/>
              </w:rPr>
            </w:pPr>
            <w:r>
              <w:rPr>
                <w:sz w:val="20"/>
              </w:rPr>
              <w:t>1</w:t>
            </w:r>
            <w:r w:rsidR="00780C92">
              <w:rPr>
                <w:sz w:val="20"/>
              </w:rPr>
              <w:t>6</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Lincoln</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spacing w:before="60" w:after="60" w:line="240" w:lineRule="auto"/>
              <w:jc w:val="center"/>
              <w:rPr>
                <w:rFonts w:cs="Arial"/>
                <w:sz w:val="20"/>
                <w:szCs w:val="20"/>
              </w:rPr>
            </w:pPr>
            <w:r>
              <w:rPr>
                <w:rFonts w:cs="Arial"/>
                <w:sz w:val="20"/>
                <w:szCs w:val="20"/>
              </w:rPr>
              <w:t>161</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10</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145</w:t>
            </w:r>
          </w:p>
        </w:tc>
        <w:tc>
          <w:tcPr>
            <w:tcW w:w="1690" w:type="dxa"/>
            <w:tcBorders>
              <w:top w:val="single" w:sz="8" w:space="0" w:color="4F81BD"/>
              <w:left w:val="single" w:sz="8" w:space="0" w:color="4F81BD"/>
              <w:bottom w:val="single" w:sz="8" w:space="0" w:color="4F81BD"/>
            </w:tcBorders>
            <w:vAlign w:val="center"/>
          </w:tcPr>
          <w:p w:rsidR="0030295F" w:rsidRDefault="00E22864" w:rsidP="0023584A">
            <w:pPr>
              <w:pStyle w:val="BodyText"/>
              <w:spacing w:before="60" w:after="60" w:line="240" w:lineRule="auto"/>
              <w:jc w:val="center"/>
              <w:rPr>
                <w:sz w:val="20"/>
              </w:rPr>
            </w:pPr>
            <w:r>
              <w:rPr>
                <w:sz w:val="20"/>
              </w:rPr>
              <w:t>9</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North East Lincolnshire</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spacing w:before="60" w:after="60" w:line="240" w:lineRule="auto"/>
              <w:jc w:val="center"/>
              <w:rPr>
                <w:rFonts w:cs="Arial"/>
                <w:sz w:val="20"/>
                <w:szCs w:val="20"/>
              </w:rPr>
            </w:pPr>
            <w:r>
              <w:rPr>
                <w:rFonts w:cs="Arial"/>
                <w:sz w:val="20"/>
                <w:szCs w:val="20"/>
              </w:rPr>
              <w:t>177</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11</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210</w:t>
            </w:r>
          </w:p>
        </w:tc>
        <w:tc>
          <w:tcPr>
            <w:tcW w:w="1690" w:type="dxa"/>
            <w:tcBorders>
              <w:top w:val="single" w:sz="8" w:space="0" w:color="4F81BD"/>
              <w:left w:val="single" w:sz="8" w:space="0" w:color="4F81BD"/>
              <w:bottom w:val="single" w:sz="8" w:space="0" w:color="4F81BD"/>
            </w:tcBorders>
            <w:vAlign w:val="center"/>
          </w:tcPr>
          <w:p w:rsidR="0030295F" w:rsidRDefault="00E22864" w:rsidP="00780C92">
            <w:pPr>
              <w:pStyle w:val="BodyText"/>
              <w:spacing w:before="60" w:after="60" w:line="240" w:lineRule="auto"/>
              <w:jc w:val="center"/>
              <w:rPr>
                <w:sz w:val="20"/>
              </w:rPr>
            </w:pPr>
            <w:r>
              <w:rPr>
                <w:sz w:val="20"/>
              </w:rPr>
              <w:t>1</w:t>
            </w:r>
            <w:r w:rsidR="00780C92">
              <w:rPr>
                <w:sz w:val="20"/>
              </w:rPr>
              <w:t>4</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North Kesteven</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spacing w:before="60" w:after="60" w:line="240" w:lineRule="auto"/>
              <w:jc w:val="center"/>
              <w:rPr>
                <w:rFonts w:cs="Arial"/>
                <w:sz w:val="20"/>
                <w:szCs w:val="20"/>
              </w:rPr>
            </w:pPr>
            <w:r>
              <w:rPr>
                <w:rFonts w:cs="Arial"/>
                <w:sz w:val="20"/>
                <w:szCs w:val="20"/>
              </w:rPr>
              <w:t>158</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10</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145</w:t>
            </w:r>
          </w:p>
        </w:tc>
        <w:tc>
          <w:tcPr>
            <w:tcW w:w="1690" w:type="dxa"/>
            <w:tcBorders>
              <w:top w:val="single" w:sz="8" w:space="0" w:color="4F81BD"/>
              <w:left w:val="single" w:sz="8" w:space="0" w:color="4F81BD"/>
              <w:bottom w:val="single" w:sz="8" w:space="0" w:color="4F81BD"/>
            </w:tcBorders>
            <w:vAlign w:val="center"/>
          </w:tcPr>
          <w:p w:rsidR="0030295F" w:rsidRDefault="00E22864" w:rsidP="0023584A">
            <w:pPr>
              <w:pStyle w:val="BodyText"/>
              <w:spacing w:before="60" w:after="60" w:line="240" w:lineRule="auto"/>
              <w:jc w:val="center"/>
              <w:rPr>
                <w:sz w:val="20"/>
              </w:rPr>
            </w:pPr>
            <w:r>
              <w:rPr>
                <w:sz w:val="20"/>
              </w:rPr>
              <w:t>9</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North Lincolnshire</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spacing w:before="60" w:after="60" w:line="240" w:lineRule="auto"/>
              <w:jc w:val="center"/>
              <w:rPr>
                <w:rFonts w:cs="Arial"/>
                <w:sz w:val="20"/>
                <w:szCs w:val="20"/>
              </w:rPr>
            </w:pPr>
            <w:r>
              <w:rPr>
                <w:rFonts w:cs="Arial"/>
                <w:sz w:val="20"/>
                <w:szCs w:val="20"/>
              </w:rPr>
              <w:t>197</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12</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226</w:t>
            </w:r>
          </w:p>
        </w:tc>
        <w:tc>
          <w:tcPr>
            <w:tcW w:w="1690" w:type="dxa"/>
            <w:tcBorders>
              <w:top w:val="single" w:sz="8" w:space="0" w:color="4F81BD"/>
              <w:left w:val="single" w:sz="8" w:space="0" w:color="4F81BD"/>
              <w:bottom w:val="single" w:sz="8" w:space="0" w:color="4F81BD"/>
            </w:tcBorders>
            <w:vAlign w:val="center"/>
          </w:tcPr>
          <w:p w:rsidR="0030295F" w:rsidRDefault="00E22864" w:rsidP="00780C92">
            <w:pPr>
              <w:pStyle w:val="BodyText"/>
              <w:spacing w:before="60" w:after="60" w:line="240" w:lineRule="auto"/>
              <w:jc w:val="center"/>
              <w:rPr>
                <w:sz w:val="20"/>
              </w:rPr>
            </w:pPr>
            <w:r>
              <w:rPr>
                <w:sz w:val="20"/>
              </w:rPr>
              <w:t>1</w:t>
            </w:r>
            <w:r w:rsidR="00780C92">
              <w:rPr>
                <w:sz w:val="20"/>
              </w:rPr>
              <w:t>5</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South Holland</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spacing w:before="60" w:after="60" w:line="240" w:lineRule="auto"/>
              <w:jc w:val="center"/>
              <w:rPr>
                <w:rFonts w:cs="Arial"/>
                <w:sz w:val="20"/>
                <w:szCs w:val="20"/>
              </w:rPr>
            </w:pPr>
            <w:r>
              <w:rPr>
                <w:rFonts w:cs="Arial"/>
                <w:sz w:val="20"/>
                <w:szCs w:val="20"/>
              </w:rPr>
              <w:t>154</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10</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Default="00E22864" w:rsidP="0023584A">
            <w:pPr>
              <w:pStyle w:val="BodyText"/>
              <w:spacing w:before="60" w:after="60" w:line="240" w:lineRule="auto"/>
              <w:jc w:val="center"/>
              <w:rPr>
                <w:sz w:val="20"/>
              </w:rPr>
            </w:pPr>
            <w:r>
              <w:rPr>
                <w:sz w:val="20"/>
              </w:rPr>
              <w:t>145</w:t>
            </w:r>
          </w:p>
        </w:tc>
        <w:tc>
          <w:tcPr>
            <w:tcW w:w="1690" w:type="dxa"/>
            <w:tcBorders>
              <w:top w:val="single" w:sz="8" w:space="0" w:color="4F81BD"/>
              <w:left w:val="single" w:sz="8" w:space="0" w:color="4F81BD"/>
              <w:bottom w:val="single" w:sz="8" w:space="0" w:color="4F81BD"/>
            </w:tcBorders>
            <w:vAlign w:val="center"/>
          </w:tcPr>
          <w:p w:rsidR="0030295F" w:rsidRDefault="00E22864" w:rsidP="0023584A">
            <w:pPr>
              <w:pStyle w:val="BodyText"/>
              <w:spacing w:before="60" w:after="60" w:line="240" w:lineRule="auto"/>
              <w:jc w:val="center"/>
              <w:rPr>
                <w:sz w:val="20"/>
              </w:rPr>
            </w:pPr>
            <w:r>
              <w:rPr>
                <w:sz w:val="20"/>
              </w:rPr>
              <w:t>9</w:t>
            </w:r>
          </w:p>
        </w:tc>
      </w:tr>
      <w:tr w:rsidR="0030295F" w:rsidRPr="00CF3356" w:rsidTr="0002235B">
        <w:tc>
          <w:tcPr>
            <w:tcW w:w="3456" w:type="dxa"/>
            <w:tcBorders>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South Kesteven</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spacing w:before="60" w:after="60" w:line="240" w:lineRule="auto"/>
              <w:jc w:val="center"/>
              <w:rPr>
                <w:rFonts w:cs="Arial"/>
                <w:sz w:val="20"/>
                <w:szCs w:val="20"/>
              </w:rPr>
            </w:pPr>
            <w:r>
              <w:rPr>
                <w:rFonts w:cs="Arial"/>
                <w:sz w:val="20"/>
                <w:szCs w:val="20"/>
              </w:rPr>
              <w:t>199</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12</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209</w:t>
            </w:r>
          </w:p>
        </w:tc>
        <w:tc>
          <w:tcPr>
            <w:tcW w:w="1690" w:type="dxa"/>
            <w:tcBorders>
              <w:left w:val="single" w:sz="8" w:space="0" w:color="4F81BD"/>
            </w:tcBorders>
            <w:vAlign w:val="center"/>
          </w:tcPr>
          <w:p w:rsidR="0030295F" w:rsidRPr="00CF3356" w:rsidRDefault="00E22864" w:rsidP="00780C92">
            <w:pPr>
              <w:pStyle w:val="BodyText"/>
              <w:spacing w:before="60" w:after="60" w:line="240" w:lineRule="auto"/>
              <w:jc w:val="center"/>
              <w:rPr>
                <w:sz w:val="20"/>
              </w:rPr>
            </w:pPr>
            <w:r>
              <w:rPr>
                <w:sz w:val="20"/>
              </w:rPr>
              <w:t>1</w:t>
            </w:r>
            <w:r w:rsidR="00780C92">
              <w:rPr>
                <w:sz w:val="20"/>
              </w:rPr>
              <w:t>4</w:t>
            </w:r>
          </w:p>
        </w:tc>
      </w:tr>
      <w:tr w:rsidR="0030295F" w:rsidRPr="00CF3356" w:rsidTr="0002235B">
        <w:tc>
          <w:tcPr>
            <w:tcW w:w="3456" w:type="dxa"/>
            <w:tcBorders>
              <w:top w:val="single" w:sz="8" w:space="0" w:color="4F81BD"/>
              <w:bottom w:val="single" w:sz="8" w:space="0" w:color="4F81BD"/>
              <w:right w:val="single" w:sz="8" w:space="0" w:color="4F81BD"/>
            </w:tcBorders>
            <w:vAlign w:val="center"/>
          </w:tcPr>
          <w:p w:rsidR="0030295F" w:rsidRPr="0030295F" w:rsidRDefault="0030295F" w:rsidP="0030295F">
            <w:pPr>
              <w:spacing w:before="20" w:after="20" w:line="240" w:lineRule="auto"/>
              <w:rPr>
                <w:rFonts w:cstheme="minorHAnsi"/>
                <w:color w:val="000000"/>
                <w:sz w:val="20"/>
              </w:rPr>
            </w:pPr>
            <w:r w:rsidRPr="0030295F">
              <w:rPr>
                <w:rFonts w:cstheme="minorHAnsi"/>
                <w:color w:val="000000"/>
                <w:sz w:val="20"/>
              </w:rPr>
              <w:t>West Lindsey</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spacing w:before="60" w:after="60" w:line="240" w:lineRule="auto"/>
              <w:jc w:val="center"/>
              <w:rPr>
                <w:rFonts w:cs="Arial"/>
                <w:sz w:val="20"/>
                <w:szCs w:val="20"/>
              </w:rPr>
            </w:pPr>
            <w:r>
              <w:rPr>
                <w:rFonts w:cs="Arial"/>
                <w:sz w:val="20"/>
                <w:szCs w:val="20"/>
              </w:rPr>
              <w:t>147</w:t>
            </w:r>
          </w:p>
        </w:tc>
        <w:tc>
          <w:tcPr>
            <w:tcW w:w="1559" w:type="dxa"/>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9</w:t>
            </w:r>
          </w:p>
        </w:tc>
        <w:tc>
          <w:tcPr>
            <w:tcW w:w="1275" w:type="dxa"/>
            <w:tcBorders>
              <w:top w:val="single" w:sz="8" w:space="0" w:color="4F81BD"/>
              <w:left w:val="single" w:sz="8" w:space="0" w:color="4F81BD"/>
              <w:bottom w:val="single" w:sz="8" w:space="0" w:color="4F81BD"/>
              <w:right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129</w:t>
            </w:r>
          </w:p>
        </w:tc>
        <w:tc>
          <w:tcPr>
            <w:tcW w:w="1690" w:type="dxa"/>
            <w:tcBorders>
              <w:top w:val="single" w:sz="8" w:space="0" w:color="4F81BD"/>
              <w:left w:val="single" w:sz="8" w:space="0" w:color="4F81BD"/>
              <w:bottom w:val="single" w:sz="8" w:space="0" w:color="4F81BD"/>
            </w:tcBorders>
            <w:vAlign w:val="center"/>
          </w:tcPr>
          <w:p w:rsidR="0030295F" w:rsidRPr="00CF3356" w:rsidRDefault="00E22864" w:rsidP="0023584A">
            <w:pPr>
              <w:pStyle w:val="BodyText"/>
              <w:spacing w:before="60" w:after="60" w:line="240" w:lineRule="auto"/>
              <w:jc w:val="center"/>
              <w:rPr>
                <w:sz w:val="20"/>
              </w:rPr>
            </w:pPr>
            <w:r>
              <w:rPr>
                <w:sz w:val="20"/>
              </w:rPr>
              <w:t>8</w:t>
            </w:r>
          </w:p>
        </w:tc>
      </w:tr>
      <w:tr w:rsidR="0023584A" w:rsidRPr="00B406CF" w:rsidTr="0002235B">
        <w:tc>
          <w:tcPr>
            <w:tcW w:w="3456" w:type="dxa"/>
            <w:tcBorders>
              <w:top w:val="single" w:sz="8" w:space="0" w:color="4F81BD"/>
              <w:bottom w:val="single" w:sz="8" w:space="0" w:color="4F81BD"/>
              <w:right w:val="single" w:sz="8" w:space="0" w:color="4F81BD"/>
            </w:tcBorders>
            <w:vAlign w:val="center"/>
          </w:tcPr>
          <w:p w:rsidR="0023584A" w:rsidRPr="00B406CF" w:rsidRDefault="0023584A" w:rsidP="0023584A">
            <w:pPr>
              <w:pStyle w:val="BodyText"/>
              <w:spacing w:before="60" w:after="60" w:line="240" w:lineRule="auto"/>
              <w:rPr>
                <w:b/>
                <w:bCs/>
                <w:sz w:val="20"/>
                <w:szCs w:val="20"/>
              </w:rPr>
            </w:pPr>
            <w:r w:rsidRPr="00B406CF">
              <w:rPr>
                <w:b/>
                <w:bCs/>
                <w:sz w:val="20"/>
                <w:szCs w:val="20"/>
              </w:rPr>
              <w:t>Total</w:t>
            </w:r>
          </w:p>
        </w:tc>
        <w:tc>
          <w:tcPr>
            <w:tcW w:w="1330" w:type="dxa"/>
            <w:gridSpan w:val="2"/>
            <w:tcBorders>
              <w:top w:val="single" w:sz="8" w:space="0" w:color="4F81BD"/>
              <w:left w:val="single" w:sz="8" w:space="0" w:color="4F81BD"/>
              <w:bottom w:val="single" w:sz="8" w:space="0" w:color="4F81BD"/>
              <w:right w:val="single" w:sz="8" w:space="0" w:color="4F81BD"/>
            </w:tcBorders>
            <w:vAlign w:val="center"/>
          </w:tcPr>
          <w:p w:rsidR="0023584A" w:rsidRPr="00B406CF" w:rsidRDefault="00E22864" w:rsidP="00780C92">
            <w:pPr>
              <w:pStyle w:val="BodyText"/>
              <w:spacing w:before="60" w:after="60" w:line="240" w:lineRule="auto"/>
              <w:jc w:val="center"/>
              <w:rPr>
                <w:b/>
                <w:sz w:val="20"/>
              </w:rPr>
            </w:pPr>
            <w:r>
              <w:rPr>
                <w:b/>
                <w:sz w:val="20"/>
              </w:rPr>
              <w:t>1</w:t>
            </w:r>
            <w:r w:rsidR="00780C92">
              <w:rPr>
                <w:b/>
                <w:sz w:val="20"/>
              </w:rPr>
              <w:t>5</w:t>
            </w:r>
            <w:r>
              <w:rPr>
                <w:b/>
                <w:sz w:val="20"/>
              </w:rPr>
              <w:t>15</w:t>
            </w:r>
          </w:p>
        </w:tc>
        <w:tc>
          <w:tcPr>
            <w:tcW w:w="1559" w:type="dxa"/>
            <w:tcBorders>
              <w:top w:val="single" w:sz="8" w:space="0" w:color="4F81BD"/>
              <w:left w:val="single" w:sz="8" w:space="0" w:color="4F81BD"/>
              <w:bottom w:val="single" w:sz="8" w:space="0" w:color="4F81BD"/>
              <w:right w:val="single" w:sz="8" w:space="0" w:color="4F81BD"/>
            </w:tcBorders>
            <w:vAlign w:val="center"/>
          </w:tcPr>
          <w:p w:rsidR="0023584A" w:rsidRPr="00B406CF" w:rsidRDefault="00E22864" w:rsidP="0023584A">
            <w:pPr>
              <w:pStyle w:val="BodyText"/>
              <w:spacing w:before="60" w:after="60" w:line="240" w:lineRule="auto"/>
              <w:jc w:val="center"/>
              <w:rPr>
                <w:b/>
                <w:sz w:val="20"/>
              </w:rPr>
            </w:pPr>
            <w:r>
              <w:rPr>
                <w:b/>
                <w:sz w:val="20"/>
              </w:rPr>
              <w:t>100</w:t>
            </w:r>
          </w:p>
        </w:tc>
        <w:tc>
          <w:tcPr>
            <w:tcW w:w="1275" w:type="dxa"/>
            <w:tcBorders>
              <w:top w:val="single" w:sz="8" w:space="0" w:color="4F81BD"/>
              <w:left w:val="single" w:sz="8" w:space="0" w:color="4F81BD"/>
              <w:bottom w:val="single" w:sz="8" w:space="0" w:color="4F81BD"/>
              <w:right w:val="single" w:sz="8" w:space="0" w:color="4F81BD"/>
            </w:tcBorders>
            <w:vAlign w:val="center"/>
          </w:tcPr>
          <w:p w:rsidR="0023584A" w:rsidRPr="00B406CF" w:rsidRDefault="00E22864" w:rsidP="0023584A">
            <w:pPr>
              <w:pStyle w:val="BodyText"/>
              <w:spacing w:before="60" w:after="60" w:line="240" w:lineRule="auto"/>
              <w:jc w:val="center"/>
              <w:rPr>
                <w:b/>
                <w:sz w:val="20"/>
              </w:rPr>
            </w:pPr>
            <w:r>
              <w:rPr>
                <w:b/>
                <w:sz w:val="20"/>
              </w:rPr>
              <w:t>1615</w:t>
            </w:r>
          </w:p>
        </w:tc>
        <w:tc>
          <w:tcPr>
            <w:tcW w:w="1690" w:type="dxa"/>
            <w:tcBorders>
              <w:top w:val="single" w:sz="8" w:space="0" w:color="4F81BD"/>
              <w:left w:val="single" w:sz="8" w:space="0" w:color="4F81BD"/>
              <w:bottom w:val="single" w:sz="8" w:space="0" w:color="4F81BD"/>
            </w:tcBorders>
            <w:vAlign w:val="center"/>
          </w:tcPr>
          <w:p w:rsidR="0023584A" w:rsidRPr="00B406CF" w:rsidRDefault="00E22864" w:rsidP="0023584A">
            <w:pPr>
              <w:pStyle w:val="BodyText"/>
              <w:spacing w:before="60" w:after="60" w:line="240" w:lineRule="auto"/>
              <w:jc w:val="center"/>
              <w:rPr>
                <w:b/>
                <w:sz w:val="20"/>
              </w:rPr>
            </w:pPr>
            <w:r>
              <w:rPr>
                <w:b/>
                <w:sz w:val="20"/>
              </w:rPr>
              <w:t>100</w:t>
            </w:r>
          </w:p>
        </w:tc>
      </w:tr>
    </w:tbl>
    <w:p w:rsidR="00651896" w:rsidRDefault="00651896" w:rsidP="0023584A"/>
    <w:p w:rsidR="0023584A" w:rsidRDefault="0023584A" w:rsidP="0023584A">
      <w:r>
        <w:t>Results from the total sample may be presumed accurate (with a 95% confidence level) within a maximum sample error of +/-2.</w:t>
      </w:r>
      <w:r w:rsidR="00B621CC">
        <w:t>5</w:t>
      </w:r>
      <w:r>
        <w:t xml:space="preserve">%.  The margin of error on sub-sets of the total sample is larger, depending on the unweighted number of respondents.  </w:t>
      </w:r>
    </w:p>
    <w:p w:rsidR="0023584A" w:rsidRDefault="0023584A" w:rsidP="0023584A">
      <w:r>
        <w:t xml:space="preserve">Throughout this report, significant differences between sub-samples </w:t>
      </w:r>
      <w:r w:rsidR="00983D5E">
        <w:t xml:space="preserve">and the total minus the sub-sample tested </w:t>
      </w:r>
      <w:r>
        <w:t xml:space="preserve">are highlighted.  </w:t>
      </w:r>
      <w:r w:rsidR="00983D5E">
        <w:t>This provides an indication if the statistic is significantly greater or lesser than the statistic for the remainder of the sample.</w:t>
      </w:r>
    </w:p>
    <w:p w:rsidR="00B621CC" w:rsidRDefault="00B621CC" w:rsidP="0023584A">
      <w:r>
        <w:t>A further 100 interviews were conducted with employers based in Rutland district. These interviews are not included in the sample outlined here, nor are they discussed in this report.  Since Rutland is outside the Greater Lincolnshire area, findings from employers based in Rutland are discussed in a separate report produced by the GLLEP.</w:t>
      </w:r>
    </w:p>
    <w:p w:rsidR="00EB120D" w:rsidRPr="009235FD" w:rsidRDefault="00BB0B97" w:rsidP="00BB0B97">
      <w:pPr>
        <w:pStyle w:val="Heading3"/>
      </w:pPr>
      <w:bookmarkStart w:id="14" w:name="_Toc394057505"/>
      <w:r>
        <w:t>Note on reporting</w:t>
      </w:r>
      <w:bookmarkEnd w:id="14"/>
    </w:p>
    <w:p w:rsidR="00EB120D" w:rsidRDefault="00983D5E" w:rsidP="00B45BD7">
      <w:pPr>
        <w:pStyle w:val="BodyText"/>
      </w:pPr>
      <w:r>
        <w:t>Throughout this report t</w:t>
      </w:r>
      <w:r w:rsidR="00EB120D" w:rsidRPr="009235FD">
        <w:t xml:space="preserve">he survey data </w:t>
      </w:r>
      <w:r>
        <w:t xml:space="preserve">is </w:t>
      </w:r>
      <w:r w:rsidR="00CD37A9" w:rsidRPr="009235FD">
        <w:t xml:space="preserve">discussed on the basis of </w:t>
      </w:r>
      <w:r>
        <w:t xml:space="preserve">the samples for </w:t>
      </w:r>
      <w:r w:rsidR="00CD37A9" w:rsidRPr="009235FD">
        <w:t xml:space="preserve">Greater Lincolnshire </w:t>
      </w:r>
      <w:r>
        <w:t xml:space="preserve">(all districts) </w:t>
      </w:r>
      <w:r w:rsidR="00CD37A9" w:rsidRPr="009235FD">
        <w:t>and Lincolnshire County</w:t>
      </w:r>
      <w:r>
        <w:t xml:space="preserve"> (which excludes </w:t>
      </w:r>
      <w:r w:rsidR="00CD37A9" w:rsidRPr="009235FD">
        <w:t>North Lincolnshire</w:t>
      </w:r>
      <w:r w:rsidR="00B621CC">
        <w:t xml:space="preserve"> and</w:t>
      </w:r>
      <w:r w:rsidR="00CD37A9" w:rsidRPr="009235FD">
        <w:t xml:space="preserve"> North East Lincolnshire</w:t>
      </w:r>
      <w:r>
        <w:t>)</w:t>
      </w:r>
      <w:r w:rsidR="00CD37A9" w:rsidRPr="009235FD">
        <w:t>.</w:t>
      </w:r>
    </w:p>
    <w:p w:rsidR="00CD37A9" w:rsidRPr="009235FD" w:rsidRDefault="00651896" w:rsidP="00B45BD7">
      <w:pPr>
        <w:pStyle w:val="BodyText"/>
      </w:pPr>
      <w:r w:rsidRPr="009235FD">
        <w:t>The report reference</w:t>
      </w:r>
      <w:r w:rsidR="00BB0B97">
        <w:t>s</w:t>
      </w:r>
      <w:r w:rsidRPr="009235FD">
        <w:t xml:space="preserve"> differences</w:t>
      </w:r>
      <w:r w:rsidR="00CD37A9" w:rsidRPr="009235FD">
        <w:t xml:space="preserve"> by business size, industry sector and </w:t>
      </w:r>
      <w:r w:rsidRPr="009235FD">
        <w:t>LAD for most questions</w:t>
      </w:r>
      <w:r w:rsidR="00BB0B97">
        <w:t xml:space="preserve"> where they are significant and noteworthy</w:t>
      </w:r>
      <w:r w:rsidRPr="009235FD">
        <w:t xml:space="preserve">.  </w:t>
      </w:r>
    </w:p>
    <w:p w:rsidR="00651896" w:rsidRDefault="00BB0B97" w:rsidP="00B45BD7">
      <w:pPr>
        <w:pStyle w:val="BodyText"/>
      </w:pPr>
      <w:r>
        <w:t>S</w:t>
      </w:r>
      <w:r w:rsidR="00651896" w:rsidRPr="009235FD">
        <w:t xml:space="preserve">ignificant differences by other variables </w:t>
      </w:r>
      <w:r>
        <w:t>are also</w:t>
      </w:r>
      <w:r w:rsidR="00651896" w:rsidRPr="009235FD">
        <w:t xml:space="preserve"> discussed.</w:t>
      </w:r>
    </w:p>
    <w:p w:rsidR="001E26F5" w:rsidRPr="009235FD" w:rsidRDefault="00BB0B97" w:rsidP="00B45BD7">
      <w:pPr>
        <w:pStyle w:val="BodyText"/>
      </w:pPr>
      <w:r>
        <w:t>The</w:t>
      </w:r>
      <w:r w:rsidR="001E26F5">
        <w:t xml:space="preserve"> data </w:t>
      </w:r>
      <w:r>
        <w:t>is</w:t>
      </w:r>
      <w:r w:rsidR="001E26F5">
        <w:t xml:space="preserve"> compared to national surveys</w:t>
      </w:r>
      <w:r>
        <w:t>, including the Employer Skills Survey (</w:t>
      </w:r>
      <w:r w:rsidR="001E26F5">
        <w:t>ESS</w:t>
      </w:r>
      <w:r>
        <w:t>)</w:t>
      </w:r>
      <w:r w:rsidR="001E26F5">
        <w:t xml:space="preserve"> 2013 and</w:t>
      </w:r>
      <w:r>
        <w:t xml:space="preserve"> the Small Business Survey (SBS)</w:t>
      </w:r>
      <w:r w:rsidR="001E26F5">
        <w:t xml:space="preserve"> </w:t>
      </w:r>
      <w:r>
        <w:t>2012, where a comparison is possible or appropriate.</w:t>
      </w:r>
    </w:p>
    <w:p w:rsidR="00D31F87" w:rsidRDefault="0044589D" w:rsidP="00CD02B8">
      <w:pPr>
        <w:pStyle w:val="Heading1"/>
      </w:pPr>
      <w:bookmarkStart w:id="15" w:name="_Toc394057506"/>
      <w:r>
        <w:lastRenderedPageBreak/>
        <w:t>Life in Greater Lincolnshire</w:t>
      </w:r>
      <w:bookmarkEnd w:id="15"/>
    </w:p>
    <w:p w:rsidR="00651896" w:rsidRDefault="00651896" w:rsidP="00651896"/>
    <w:p w:rsidR="00CC3286" w:rsidRDefault="0044589D" w:rsidP="00CC3286">
      <w:pPr>
        <w:pStyle w:val="Heading2"/>
      </w:pPr>
      <w:bookmarkStart w:id="16" w:name="_Toc394057507"/>
      <w:r>
        <w:t>Key findings</w:t>
      </w:r>
      <w:bookmarkEnd w:id="16"/>
    </w:p>
    <w:p w:rsidR="006A6DDF" w:rsidRDefault="006A6DDF" w:rsidP="006A6DDF">
      <w:pPr>
        <w:pStyle w:val="BodyText"/>
      </w:pPr>
      <w:r>
        <w:t>The majority of Greater Lincolnshire employers (66%) have been established in the area for at least 10 years.</w:t>
      </w:r>
    </w:p>
    <w:p w:rsidR="00146E10" w:rsidRDefault="00146E10" w:rsidP="006A6DDF">
      <w:pPr>
        <w:pStyle w:val="BodyText"/>
      </w:pPr>
      <w:r>
        <w:t>Employers that have moved into the area are more likely to cite finding bigger, better or cheaper premises as a reason for moving into Greater Lincolnshire than the attractions of the area itself.  Access to markets and a pool of skilled labour also feature prominently, as do family reasons/lifestyle choices.</w:t>
      </w:r>
    </w:p>
    <w:p w:rsidR="00E63D64" w:rsidRDefault="00E63D64" w:rsidP="006A6DDF">
      <w:pPr>
        <w:pStyle w:val="BodyText"/>
      </w:pPr>
      <w:r>
        <w:t>One in eight employers (13%) is considering relocating their business in the next 2 years, with just 2% considering locating outside of the area.</w:t>
      </w:r>
    </w:p>
    <w:p w:rsidR="00E63D64" w:rsidRDefault="00E63D64" w:rsidP="006A6DDF">
      <w:pPr>
        <w:pStyle w:val="BodyText"/>
      </w:pPr>
      <w:r>
        <w:t xml:space="preserve">Again, finding bigger, better or cheaper premises is a primary motivator for moving.  </w:t>
      </w:r>
    </w:p>
    <w:p w:rsidR="00E63D64" w:rsidRDefault="00E63D64" w:rsidP="006A6DDF">
      <w:pPr>
        <w:pStyle w:val="BodyText"/>
      </w:pPr>
      <w:r>
        <w:t>In terms of perceptions of Greater Lincolnshire as a place to do business, it is highest rated in terms of access to customers and aspects of living in the area, including the range of housing and strong communities.  It is rated lowest for its transport infrastructure and its image as seen by external suppliers and customers and with regard to attracting people to move to the area to work.</w:t>
      </w:r>
    </w:p>
    <w:p w:rsidR="00146E10" w:rsidRDefault="0002235B" w:rsidP="006A6DDF">
      <w:pPr>
        <w:pStyle w:val="BodyText"/>
      </w:pPr>
      <w:r>
        <w:t>One in four employers (25%) has a home working policy which allows and encourages staff to work at home.</w:t>
      </w:r>
    </w:p>
    <w:p w:rsidR="0044589D" w:rsidRDefault="0044589D" w:rsidP="0044589D">
      <w:pPr>
        <w:pStyle w:val="Heading2"/>
      </w:pPr>
      <w:bookmarkStart w:id="17" w:name="_Toc394057508"/>
      <w:r>
        <w:t>Location in Greater Lincolnshire</w:t>
      </w:r>
      <w:bookmarkEnd w:id="17"/>
    </w:p>
    <w:p w:rsidR="00747C9D" w:rsidRDefault="00747C9D" w:rsidP="00B45BD7">
      <w:pPr>
        <w:pStyle w:val="BodyText"/>
      </w:pPr>
      <w:r>
        <w:t xml:space="preserve">The profile of employer distribution across Greater Lincolnshire is summarised in the figure below.  The blue bars in the figure represent those employer based in the Lincolnshire county area, with those represented by the red bars located outside of the county.   </w:t>
      </w:r>
      <w:r w:rsidR="00BB08B3">
        <w:t>Seven in ten</w:t>
      </w:r>
      <w:r w:rsidR="006A0862">
        <w:t xml:space="preserve"> employers (</w:t>
      </w:r>
      <w:r w:rsidR="00BB08B3">
        <w:t>71</w:t>
      </w:r>
      <w:r w:rsidR="006A0862">
        <w:t>%) are based within the county.</w:t>
      </w:r>
    </w:p>
    <w:p w:rsidR="00747C9D" w:rsidRDefault="00747C9D" w:rsidP="00747C9D">
      <w:pPr>
        <w:pStyle w:val="Caption"/>
      </w:pPr>
      <w:r>
        <w:lastRenderedPageBreak/>
        <w:t xml:space="preserve">Figure 3.1:   Local Authority District (LAD) in which employers are based (all </w:t>
      </w:r>
      <w:r w:rsidR="00E3671E">
        <w:t>employers</w:t>
      </w:r>
      <w:r>
        <w:t>)</w:t>
      </w:r>
      <w:r w:rsidR="00D844D1">
        <w:t xml:space="preserve"> </w:t>
      </w:r>
    </w:p>
    <w:p w:rsidR="00747C9D" w:rsidRDefault="00747C9D" w:rsidP="00747C9D">
      <w:pPr>
        <w:pStyle w:val="Caption"/>
      </w:pPr>
      <w:r>
        <w:t xml:space="preserve"> </w:t>
      </w:r>
      <w:r w:rsidR="00780C92" w:rsidRPr="00780C92">
        <w:rPr>
          <w:noProof/>
          <w:lang w:eastAsia="en-GB"/>
        </w:rPr>
        <w:drawing>
          <wp:inline distT="0" distB="0" distL="0" distR="0">
            <wp:extent cx="5629275" cy="32575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7C9D" w:rsidRDefault="00BB08B3" w:rsidP="00747C9D">
      <w:pPr>
        <w:pStyle w:val="BodyText"/>
        <w:rPr>
          <w:rFonts w:cs="Arial"/>
          <w:sz w:val="18"/>
        </w:rPr>
      </w:pPr>
      <w:r>
        <w:rPr>
          <w:rFonts w:cs="Arial"/>
          <w:sz w:val="18"/>
        </w:rPr>
        <w:t>Unweighted sample base = 1</w:t>
      </w:r>
      <w:r w:rsidR="00780C92">
        <w:rPr>
          <w:rFonts w:cs="Arial"/>
          <w:sz w:val="18"/>
        </w:rPr>
        <w:t>5</w:t>
      </w:r>
      <w:r w:rsidR="00747C9D">
        <w:rPr>
          <w:rFonts w:cs="Arial"/>
          <w:sz w:val="18"/>
        </w:rPr>
        <w:t>15</w:t>
      </w:r>
      <w:r w:rsidR="00D844D1">
        <w:rPr>
          <w:rFonts w:cs="Arial"/>
          <w:sz w:val="18"/>
        </w:rPr>
        <w:t xml:space="preserve">                     Blue bars = Lincolnshire county area</w:t>
      </w:r>
    </w:p>
    <w:p w:rsidR="00747C9D" w:rsidRPr="00747C9D" w:rsidRDefault="00747C9D" w:rsidP="00747C9D">
      <w:pPr>
        <w:rPr>
          <w:sz w:val="18"/>
        </w:rPr>
      </w:pPr>
      <w:r w:rsidRPr="00747C9D">
        <w:rPr>
          <w:sz w:val="18"/>
        </w:rPr>
        <w:t>From database; confirmed during interview</w:t>
      </w:r>
    </w:p>
    <w:p w:rsidR="00747C9D" w:rsidRDefault="00747C9D" w:rsidP="00747C9D">
      <w:pPr>
        <w:pStyle w:val="BodyText"/>
      </w:pPr>
    </w:p>
    <w:p w:rsidR="006A0862" w:rsidRDefault="006A0862" w:rsidP="00B45BD7">
      <w:pPr>
        <w:pStyle w:val="BodyText"/>
      </w:pPr>
      <w:r>
        <w:t>The majority of employers stated that they have always been located in Greater Lincolnshire (9</w:t>
      </w:r>
      <w:r w:rsidR="00BB08B3">
        <w:t>3</w:t>
      </w:r>
      <w:r>
        <w:t>%)</w:t>
      </w:r>
      <w:r w:rsidR="005C7398">
        <w:t>; 7% having relocated to Greater Lincolnshire from elsewhere.  The proportion of employers relocating to Greater Lincolnshire from elsewhere is significantly higher within the banking, finance and insurance sectors (11%), manufacturing (12%) and construction (10%).</w:t>
      </w:r>
    </w:p>
    <w:p w:rsidR="0000795B" w:rsidRDefault="0000795B" w:rsidP="00B45BD7">
      <w:pPr>
        <w:pStyle w:val="BodyText"/>
      </w:pPr>
      <w:r>
        <w:t>The proportion of headquarters organisations that have relocated to Greater Lincolnshire is significantly higher than average (1</w:t>
      </w:r>
      <w:r w:rsidR="00BB08B3">
        <w:t>3</w:t>
      </w:r>
      <w:r>
        <w:t>%)</w:t>
      </w:r>
      <w:r w:rsidR="00797A1B">
        <w:t>.  Furthermore, employers that export are significantly more likely than average to have relocated to Greater Lincolnshire (1</w:t>
      </w:r>
      <w:r w:rsidR="00BB08B3">
        <w:t>7</w:t>
      </w:r>
      <w:r w:rsidR="00797A1B">
        <w:t>%).</w:t>
      </w:r>
    </w:p>
    <w:p w:rsidR="00ED64F8" w:rsidRDefault="00ED64F8" w:rsidP="00747C9D">
      <w:pPr>
        <w:pStyle w:val="BodyText"/>
      </w:pPr>
      <w:r>
        <w:t>The majority of employers have been long established within Greater Lincolnshire.  Two-thirds (66%) have been in the area for more than 10 years, with the majority of those (</w:t>
      </w:r>
      <w:r w:rsidR="00BB08B3">
        <w:t>45</w:t>
      </w:r>
      <w:r>
        <w:t xml:space="preserve">% of all employers) </w:t>
      </w:r>
      <w:r w:rsidR="00013800">
        <w:t>having been trading in the area for more than 20 years.</w:t>
      </w:r>
      <w:r>
        <w:t xml:space="preserve"> </w:t>
      </w:r>
    </w:p>
    <w:p w:rsidR="00F73F7F" w:rsidRDefault="0073300F" w:rsidP="0073300F">
      <w:pPr>
        <w:pStyle w:val="Caption"/>
      </w:pPr>
      <w:r>
        <w:lastRenderedPageBreak/>
        <w:t>Figure 3.</w:t>
      </w:r>
      <w:r w:rsidR="00ED64F8">
        <w:t>2</w:t>
      </w:r>
      <w:r>
        <w:t xml:space="preserve">:   Length of time businesses have been trading in Greater Lincolnshire (all </w:t>
      </w:r>
      <w:r w:rsidR="00E3671E">
        <w:t>employers</w:t>
      </w:r>
      <w:r>
        <w:t xml:space="preserve">) </w:t>
      </w:r>
    </w:p>
    <w:p w:rsidR="0073300F" w:rsidRDefault="00ED64F8" w:rsidP="0073300F">
      <w:pPr>
        <w:pStyle w:val="Caption"/>
      </w:pPr>
      <w:r w:rsidRPr="00ED64F8">
        <w:rPr>
          <w:noProof/>
          <w:lang w:eastAsia="en-GB"/>
        </w:rPr>
        <w:drawing>
          <wp:inline distT="0" distB="0" distL="0" distR="0">
            <wp:extent cx="5757706" cy="3295859"/>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300F" w:rsidRDefault="0073300F" w:rsidP="0073300F">
      <w:pPr>
        <w:pStyle w:val="BodyText"/>
        <w:rPr>
          <w:rFonts w:cs="Arial"/>
          <w:sz w:val="18"/>
        </w:rPr>
      </w:pPr>
      <w:r>
        <w:rPr>
          <w:rFonts w:cs="Arial"/>
          <w:sz w:val="18"/>
        </w:rPr>
        <w:t>Unweigh</w:t>
      </w:r>
      <w:r w:rsidR="006E4824">
        <w:rPr>
          <w:rFonts w:cs="Arial"/>
          <w:sz w:val="18"/>
        </w:rPr>
        <w:t>t</w:t>
      </w:r>
      <w:r w:rsidR="00BB08B3">
        <w:rPr>
          <w:rFonts w:cs="Arial"/>
          <w:sz w:val="18"/>
        </w:rPr>
        <w:t>ed sample base = 1</w:t>
      </w:r>
      <w:r w:rsidR="00780C92">
        <w:rPr>
          <w:rFonts w:cs="Arial"/>
          <w:sz w:val="18"/>
        </w:rPr>
        <w:t>5</w:t>
      </w:r>
      <w:r>
        <w:rPr>
          <w:rFonts w:cs="Arial"/>
          <w:sz w:val="18"/>
        </w:rPr>
        <w:t>15</w:t>
      </w:r>
    </w:p>
    <w:p w:rsidR="0073300F" w:rsidRPr="0073300F" w:rsidRDefault="0073300F" w:rsidP="0073300F">
      <w:pPr>
        <w:pStyle w:val="BodyText"/>
        <w:rPr>
          <w:sz w:val="18"/>
        </w:rPr>
      </w:pPr>
      <w:r w:rsidRPr="0073300F">
        <w:rPr>
          <w:rFonts w:cs="Arial"/>
          <w:sz w:val="18"/>
        </w:rPr>
        <w:t>QA7.  For how long has the business been trading in Greater Lincolnshire?</w:t>
      </w:r>
    </w:p>
    <w:p w:rsidR="0073300F" w:rsidRDefault="0073300F" w:rsidP="0073300F"/>
    <w:p w:rsidR="0044589D" w:rsidRDefault="0044589D" w:rsidP="0044589D">
      <w:pPr>
        <w:pStyle w:val="Heading3"/>
      </w:pPr>
      <w:bookmarkStart w:id="18" w:name="_Toc394057509"/>
      <w:r>
        <w:t>Reasons for relocating to Greater Lincolnshire</w:t>
      </w:r>
      <w:bookmarkEnd w:id="18"/>
    </w:p>
    <w:p w:rsidR="0044589D" w:rsidRDefault="0091702D" w:rsidP="00B45BD7">
      <w:pPr>
        <w:pStyle w:val="BodyText"/>
      </w:pPr>
      <w:r>
        <w:t xml:space="preserve">Reasons for relocating to Greater Lincolnshire were less about the area itself than about finding bigger, better or cheaper premises.   Access to markets, either new or existing, as well as access to a pool of skilled labour also feature, while lifestyle, personal/family reasons are mentioned by a few (small) employers, which predominate in this group of organisations that have relocated to the area  </w:t>
      </w:r>
    </w:p>
    <w:p w:rsidR="0091702D" w:rsidRDefault="006831D2" w:rsidP="00165A26">
      <w:pPr>
        <w:pStyle w:val="ListParagraph"/>
      </w:pPr>
      <w:r>
        <w:t>For f</w:t>
      </w:r>
      <w:r w:rsidR="0091702D">
        <w:t>amily reasons (</w:t>
      </w:r>
      <w:r w:rsidR="00BB08B3">
        <w:t>19</w:t>
      </w:r>
      <w:r w:rsidR="0091702D">
        <w:t>%) – all 2-9 employers</w:t>
      </w:r>
    </w:p>
    <w:p w:rsidR="0091702D" w:rsidRDefault="0091702D" w:rsidP="00165A26">
      <w:pPr>
        <w:pStyle w:val="ListParagraph"/>
      </w:pPr>
      <w:r>
        <w:t>Lifestyle choice (1</w:t>
      </w:r>
      <w:r w:rsidR="00BB08B3">
        <w:t>4</w:t>
      </w:r>
      <w:r>
        <w:t>%) –</w:t>
      </w:r>
      <w:r w:rsidR="00BB08B3">
        <w:t xml:space="preserve"> </w:t>
      </w:r>
      <w:r>
        <w:t>all 2-9 employers</w:t>
      </w:r>
    </w:p>
    <w:p w:rsidR="0091702D" w:rsidRDefault="0091702D" w:rsidP="00165A26">
      <w:pPr>
        <w:pStyle w:val="ListParagraph"/>
      </w:pPr>
      <w:r>
        <w:t>Unspecified financial reasons (1</w:t>
      </w:r>
      <w:r w:rsidR="00BB08B3">
        <w:t>3</w:t>
      </w:r>
      <w:r>
        <w:t>%) – all 2-9 employers</w:t>
      </w:r>
    </w:p>
    <w:p w:rsidR="0091702D" w:rsidRDefault="00B929C7" w:rsidP="00165A26">
      <w:pPr>
        <w:pStyle w:val="ListParagraph"/>
      </w:pPr>
      <w:r>
        <w:t>Premises too small (</w:t>
      </w:r>
      <w:r w:rsidR="00BB08B3">
        <w:t>8</w:t>
      </w:r>
      <w:r>
        <w:t xml:space="preserve">%) </w:t>
      </w:r>
    </w:p>
    <w:p w:rsidR="00BB08B3" w:rsidRDefault="00BB08B3" w:rsidP="00BB08B3">
      <w:pPr>
        <w:pStyle w:val="ListParagraph"/>
      </w:pPr>
      <w:r>
        <w:t>Cost of premises too high (7%)</w:t>
      </w:r>
    </w:p>
    <w:p w:rsidR="00BB08B3" w:rsidRDefault="00BB08B3" w:rsidP="00BB08B3">
      <w:pPr>
        <w:pStyle w:val="ListParagraph"/>
      </w:pPr>
      <w:r>
        <w:t>To gain access to new markets (6%)</w:t>
      </w:r>
    </w:p>
    <w:p w:rsidR="00BB08B3" w:rsidRDefault="00BB08B3" w:rsidP="00BB08B3">
      <w:pPr>
        <w:pStyle w:val="ListParagraph"/>
      </w:pPr>
      <w:r>
        <w:t>To gain access to new markets (6%)</w:t>
      </w:r>
    </w:p>
    <w:p w:rsidR="00B929C7" w:rsidRDefault="00B929C7" w:rsidP="00165A26">
      <w:pPr>
        <w:pStyle w:val="ListParagraph"/>
      </w:pPr>
      <w:r>
        <w:t>More prestigious premises (</w:t>
      </w:r>
      <w:r w:rsidR="00BB08B3">
        <w:t>5</w:t>
      </w:r>
      <w:r>
        <w:t>%)</w:t>
      </w:r>
    </w:p>
    <w:p w:rsidR="006831D2" w:rsidRDefault="006831D2" w:rsidP="00165A26">
      <w:pPr>
        <w:pStyle w:val="ListParagraph"/>
      </w:pPr>
      <w:r>
        <w:t>Premises too big (3%)</w:t>
      </w:r>
    </w:p>
    <w:p w:rsidR="006831D2" w:rsidRDefault="006831D2" w:rsidP="00165A26">
      <w:pPr>
        <w:pStyle w:val="ListParagraph"/>
      </w:pPr>
      <w:r>
        <w:t>To be closer to existing customers (</w:t>
      </w:r>
      <w:r w:rsidR="00BB08B3">
        <w:t>3</w:t>
      </w:r>
      <w:r>
        <w:t>%)</w:t>
      </w:r>
    </w:p>
    <w:p w:rsidR="006831D2" w:rsidRDefault="006831D2" w:rsidP="00165A26">
      <w:pPr>
        <w:pStyle w:val="ListParagraph"/>
      </w:pPr>
      <w:r>
        <w:t>To gain access to skills and affordable labour (</w:t>
      </w:r>
      <w:r w:rsidR="00BB08B3">
        <w:t>3</w:t>
      </w:r>
      <w:r>
        <w:t>%)</w:t>
      </w:r>
    </w:p>
    <w:p w:rsidR="006831D2" w:rsidRDefault="00165A26" w:rsidP="00165A26">
      <w:pPr>
        <w:pStyle w:val="ListParagraph"/>
      </w:pPr>
      <w:r>
        <w:t>Better business rates (2%)</w:t>
      </w:r>
    </w:p>
    <w:p w:rsidR="00165A26" w:rsidRDefault="00165A26" w:rsidP="0044589D">
      <w:pPr>
        <w:pStyle w:val="BodyText"/>
      </w:pPr>
    </w:p>
    <w:p w:rsidR="00000908" w:rsidRDefault="00000908" w:rsidP="00000908">
      <w:pPr>
        <w:pStyle w:val="Heading3"/>
      </w:pPr>
      <w:bookmarkStart w:id="19" w:name="_Toc394057510"/>
      <w:r>
        <w:lastRenderedPageBreak/>
        <w:t>Possible relocation</w:t>
      </w:r>
      <w:bookmarkEnd w:id="19"/>
    </w:p>
    <w:p w:rsidR="00000908" w:rsidRPr="00B45BD7" w:rsidRDefault="00000908" w:rsidP="00000908">
      <w:pPr>
        <w:pStyle w:val="BodyText"/>
      </w:pPr>
      <w:r w:rsidRPr="00B45BD7">
        <w:t>In terms of the basis on which employers occupy their premises, they are a little less likely to own it than let it; 45% own their premises; 47% let it and a further 4% sub-let it.</w:t>
      </w:r>
      <w:r>
        <w:t xml:space="preserve">  This analysis excludes public sector organisations.</w:t>
      </w:r>
    </w:p>
    <w:p w:rsidR="00000908" w:rsidRPr="00B45BD7" w:rsidRDefault="00000908" w:rsidP="00000908">
      <w:pPr>
        <w:pStyle w:val="BodyText"/>
      </w:pPr>
      <w:r w:rsidRPr="00B45BD7">
        <w:t>The propensity to own their premises increases with employer size (to 64% of 100+ employers) and is significantly higher than average amongst headquarters organisations (62%).</w:t>
      </w:r>
    </w:p>
    <w:p w:rsidR="00467A46" w:rsidRDefault="00467A46" w:rsidP="00B45BD7">
      <w:pPr>
        <w:pStyle w:val="BodyText"/>
      </w:pPr>
      <w:r w:rsidRPr="00B45BD7">
        <w:t>Whether they own or let their premises, it is likely to be a costly and difficult process to relocate.  Tenants may be tied into long leases, while owners</w:t>
      </w:r>
      <w:r w:rsidR="002C66C0">
        <w:t xml:space="preserve"> need to sell their premises and the logistics of obtaining new premises, moving and setting up at a new address are challenging.  </w:t>
      </w:r>
      <w:r w:rsidRPr="00B45BD7">
        <w:t>However, given necessity</w:t>
      </w:r>
      <w:r w:rsidR="00B45BD7">
        <w:t xml:space="preserve"> or other</w:t>
      </w:r>
      <w:r>
        <w:t xml:space="preserve"> </w:t>
      </w:r>
      <w:r w:rsidR="00B45BD7">
        <w:t xml:space="preserve">sufficient </w:t>
      </w:r>
      <w:r>
        <w:t>motivation it will be a viable step.</w:t>
      </w:r>
    </w:p>
    <w:p w:rsidR="009302F9" w:rsidRDefault="002D7F44" w:rsidP="00B45BD7">
      <w:pPr>
        <w:pStyle w:val="BodyText"/>
      </w:pPr>
      <w:r>
        <w:t>Based on all employers, including public sector organisations, one in eight (</w:t>
      </w:r>
      <w:r w:rsidR="00BB255A">
        <w:t>13</w:t>
      </w:r>
      <w:r>
        <w:t xml:space="preserve">%) are considering relocating their business in the next 2 years.  </w:t>
      </w:r>
    </w:p>
    <w:p w:rsidR="009302F9" w:rsidRDefault="009302F9" w:rsidP="009302F9">
      <w:pPr>
        <w:pStyle w:val="BodyText"/>
      </w:pPr>
      <w:r>
        <w:t xml:space="preserve">Very few employers are considering leaving the area completely (just </w:t>
      </w:r>
      <w:r w:rsidR="00BB255A">
        <w:t>2</w:t>
      </w:r>
      <w:r>
        <w:t>% of all employers), with the vast majority of those considering relocation planning to remain in the area (11%).</w:t>
      </w:r>
    </w:p>
    <w:p w:rsidR="002C66C0" w:rsidRDefault="009302F9" w:rsidP="00B45BD7">
      <w:pPr>
        <w:pStyle w:val="BodyText"/>
      </w:pPr>
      <w:r>
        <w:t xml:space="preserve">The </w:t>
      </w:r>
      <w:r w:rsidR="002D7F44">
        <w:t>proportion</w:t>
      </w:r>
      <w:r>
        <w:t xml:space="preserve"> considering relocation</w:t>
      </w:r>
      <w:r w:rsidR="002D7F44">
        <w:t xml:space="preserve"> is significantly higher than average amongst employers in North East Lincolnshire (16%) and </w:t>
      </w:r>
      <w:r w:rsidR="002D7F44" w:rsidRPr="00BB255A">
        <w:t xml:space="preserve">lowest in </w:t>
      </w:r>
      <w:r w:rsidR="00BB255A">
        <w:t xml:space="preserve">West Lindsey </w:t>
      </w:r>
      <w:r w:rsidR="002D7F44">
        <w:t>(</w:t>
      </w:r>
      <w:r w:rsidR="00BB255A">
        <w:t>7</w:t>
      </w:r>
      <w:r w:rsidR="002D7F44">
        <w:t xml:space="preserve">%).  </w:t>
      </w:r>
    </w:p>
    <w:p w:rsidR="008C4A4D" w:rsidRDefault="008C4A4D" w:rsidP="00B45BD7">
      <w:pPr>
        <w:pStyle w:val="BodyText"/>
      </w:pPr>
      <w:r>
        <w:t>One in five headquarters organisations (20%) are considering relocation, with a quarter of these (5% of all headquarters organisations) considering relocating outside of Greater Lincolnshire.</w:t>
      </w:r>
    </w:p>
    <w:p w:rsidR="008C4A4D" w:rsidRDefault="008C4A4D" w:rsidP="00B45BD7">
      <w:pPr>
        <w:pStyle w:val="BodyText"/>
      </w:pPr>
      <w:r>
        <w:t>Relocation is more likely amongst newly established businesses; 17% of those established for less than 5 years; compared with 11% of longer established businesses.</w:t>
      </w:r>
    </w:p>
    <w:p w:rsidR="00904A88" w:rsidRDefault="00904A88" w:rsidP="00B45BD7">
      <w:pPr>
        <w:pStyle w:val="BodyText"/>
      </w:pPr>
      <w:r>
        <w:t xml:space="preserve">The proportion that are considering relocation is also significantly higher amongst those that have sought finance in the last 12 months, compared with those that have not (19%, compared with 11%).  </w:t>
      </w:r>
    </w:p>
    <w:p w:rsidR="00DA7D51" w:rsidRDefault="00DA7D51" w:rsidP="00B45BD7">
      <w:pPr>
        <w:pStyle w:val="BodyText"/>
      </w:pPr>
      <w:r>
        <w:t>As one would expect, employers anticipating expanding their premises or acquiring new premises in the next 2 years (accounting for 2</w:t>
      </w:r>
      <w:r w:rsidR="000F1351">
        <w:t>5</w:t>
      </w:r>
      <w:r>
        <w:t xml:space="preserve">% of all employers) are particularly likely to be considering relocation (40%), with one in ten considering leaving the area.  Overall, employers anticipating expanding/new premises in the next 2 years account for 80% of all those considering relocation.  It highlights the extent to which </w:t>
      </w:r>
      <w:r w:rsidR="00656730">
        <w:t>relocation is driven by employers essentially ‘growing out of’ their existing premises.</w:t>
      </w:r>
    </w:p>
    <w:p w:rsidR="002D7F44" w:rsidRDefault="002D7F44" w:rsidP="00B45BD7">
      <w:pPr>
        <w:pStyle w:val="BodyText"/>
      </w:pPr>
      <w:r>
        <w:t>By sector, employers in construction are most likely to be considering relocation (22%), while those in agriculture/fishing (4%) and distribution/hotels/restaurants</w:t>
      </w:r>
      <w:r w:rsidR="000F1351">
        <w:t xml:space="preserve"> </w:t>
      </w:r>
      <w:r>
        <w:t>(8%) least likely to be considering it.</w:t>
      </w:r>
    </w:p>
    <w:p w:rsidR="008C4A4D" w:rsidRDefault="002D7F44" w:rsidP="00B45BD7">
      <w:pPr>
        <w:pStyle w:val="BodyText"/>
      </w:pPr>
      <w:r>
        <w:t>The following figure summarises relocation prospects by sector.</w:t>
      </w:r>
      <w:r w:rsidR="00303116">
        <w:t xml:space="preserve">  </w:t>
      </w:r>
    </w:p>
    <w:p w:rsidR="002D7F44" w:rsidRDefault="002D7F44" w:rsidP="002D7F44">
      <w:pPr>
        <w:pStyle w:val="Caption"/>
      </w:pPr>
      <w:r>
        <w:lastRenderedPageBreak/>
        <w:t>Figure 3.3:   Proportion of employers that are considering relocating their business in the last yea</w:t>
      </w:r>
      <w:r w:rsidR="001F2FFC">
        <w:t>r, by industry sector, including priority and emerging sectors</w:t>
      </w:r>
      <w:r>
        <w:t xml:space="preserve"> (all </w:t>
      </w:r>
      <w:r w:rsidR="00E3671E">
        <w:t>employers</w:t>
      </w:r>
      <w:r>
        <w:t xml:space="preserve">) </w:t>
      </w:r>
    </w:p>
    <w:p w:rsidR="002D7F44" w:rsidRPr="002D7F44" w:rsidRDefault="00303116" w:rsidP="002D7F44">
      <w:r w:rsidRPr="00303116">
        <w:rPr>
          <w:noProof/>
          <w:lang w:eastAsia="en-GB"/>
        </w:rPr>
        <w:drawing>
          <wp:inline distT="0" distB="0" distL="0" distR="0">
            <wp:extent cx="5981700" cy="474345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7F44" w:rsidRDefault="002D7F44" w:rsidP="002D7F44">
      <w:pPr>
        <w:pStyle w:val="BodyText"/>
        <w:rPr>
          <w:rFonts w:cs="Arial"/>
          <w:sz w:val="18"/>
        </w:rPr>
      </w:pPr>
      <w:r>
        <w:rPr>
          <w:rFonts w:cs="Arial"/>
          <w:sz w:val="18"/>
        </w:rPr>
        <w:t>Unweigh</w:t>
      </w:r>
      <w:r w:rsidR="006E4824">
        <w:rPr>
          <w:rFonts w:cs="Arial"/>
          <w:sz w:val="18"/>
        </w:rPr>
        <w:t>t</w:t>
      </w:r>
      <w:r>
        <w:rPr>
          <w:rFonts w:cs="Arial"/>
          <w:sz w:val="18"/>
        </w:rPr>
        <w:t>ed sample bases in parentheses</w:t>
      </w:r>
      <w:r w:rsidR="008C4A4D">
        <w:rPr>
          <w:rFonts w:cs="Arial"/>
          <w:sz w:val="18"/>
        </w:rPr>
        <w:t xml:space="preserve">    *caution:  low sample base</w:t>
      </w:r>
    </w:p>
    <w:p w:rsidR="002D7F44" w:rsidRDefault="002D7F44" w:rsidP="002D7F44">
      <w:pPr>
        <w:pStyle w:val="BodyText"/>
      </w:pPr>
      <w:r>
        <w:rPr>
          <w:rFonts w:cs="Arial"/>
          <w:sz w:val="18"/>
        </w:rPr>
        <w:t>QE22.  Are you considering relocating your business in the next 2 years</w:t>
      </w:r>
      <w:r w:rsidRPr="0073300F">
        <w:rPr>
          <w:rFonts w:cs="Arial"/>
          <w:sz w:val="18"/>
        </w:rPr>
        <w:t>?</w:t>
      </w:r>
    </w:p>
    <w:p w:rsidR="002D7F44" w:rsidRDefault="002D7F44" w:rsidP="00B45BD7">
      <w:pPr>
        <w:pStyle w:val="BodyText"/>
      </w:pPr>
    </w:p>
    <w:p w:rsidR="006E4824" w:rsidRDefault="006E4824" w:rsidP="00B45BD7">
      <w:pPr>
        <w:pStyle w:val="BodyText"/>
      </w:pPr>
      <w:r>
        <w:t>Reasons for possible relocation confirm that the need to expand, improve or reduce the cost of their premises is a major factor.  Nearly half of those considering relocation (47%) report their premises as too small; a minority (5%) report them as too big or consider their existing premises to be unsuitable or in a bad state of repair (</w:t>
      </w:r>
      <w:r w:rsidR="00315E83">
        <w:t>4</w:t>
      </w:r>
      <w:r>
        <w:t xml:space="preserve">%);  one in </w:t>
      </w:r>
      <w:r w:rsidR="00315E83">
        <w:t>nine</w:t>
      </w:r>
      <w:r>
        <w:t xml:space="preserve"> (1</w:t>
      </w:r>
      <w:r w:rsidR="00315E83">
        <w:t>1</w:t>
      </w:r>
      <w:r>
        <w:t>%) are looking for lower cost premises and a minority (3%) are looking for more prestigious premises.</w:t>
      </w:r>
    </w:p>
    <w:p w:rsidR="006E4824" w:rsidRDefault="001F2FFC" w:rsidP="00B45BD7">
      <w:pPr>
        <w:pStyle w:val="BodyText"/>
      </w:pPr>
      <w:r>
        <w:t>Other reasons for considering relocation include</w:t>
      </w:r>
      <w:r w:rsidR="00593C42">
        <w:t xml:space="preserve"> ‘</w:t>
      </w:r>
      <w:r w:rsidR="00F73F7F">
        <w:t>end of lease</w:t>
      </w:r>
      <w:r w:rsidR="00593C42">
        <w:t>’</w:t>
      </w:r>
      <w:r w:rsidR="00315E83">
        <w:t xml:space="preserve"> </w:t>
      </w:r>
      <w:r w:rsidR="000964C0">
        <w:t>and</w:t>
      </w:r>
      <w:r>
        <w:t xml:space="preserve"> improved access to markets</w:t>
      </w:r>
      <w:r w:rsidR="00315E83">
        <w:t xml:space="preserve"> </w:t>
      </w:r>
      <w:r>
        <w:t>and proximity to suppliers, other companies in their sector and a pool of skilled labour.  Some reasons given are based around business restructuring and growth</w:t>
      </w:r>
      <w:r w:rsidR="000964C0">
        <w:t xml:space="preserve"> and obtaining access to better transport networks</w:t>
      </w:r>
      <w:r>
        <w:t xml:space="preserve">, while </w:t>
      </w:r>
      <w:r w:rsidR="000964C0">
        <w:t>just one or two</w:t>
      </w:r>
      <w:r>
        <w:t xml:space="preserve"> </w:t>
      </w:r>
      <w:r w:rsidR="000964C0">
        <w:t xml:space="preserve">employers </w:t>
      </w:r>
      <w:r>
        <w:t>are focused on there being unfavourable aspects of the current location including lack of fast broadband, crime and anti-social behaviour and availability of car parking.</w:t>
      </w:r>
    </w:p>
    <w:p w:rsidR="000964C0" w:rsidRDefault="000964C0" w:rsidP="00B45BD7">
      <w:pPr>
        <w:pStyle w:val="BodyText"/>
      </w:pPr>
      <w:r>
        <w:t>Reasons for considering relocation are summarised in the figure below.</w:t>
      </w:r>
    </w:p>
    <w:p w:rsidR="00F73F7F" w:rsidRDefault="00F73F7F" w:rsidP="00F73F7F">
      <w:pPr>
        <w:pStyle w:val="Caption"/>
        <w:rPr>
          <w:noProof/>
          <w:lang w:eastAsia="en-GB"/>
        </w:rPr>
      </w:pPr>
      <w:r>
        <w:lastRenderedPageBreak/>
        <w:t xml:space="preserve">Figure 3.4:   Main reasons for considering relocation – unprompted, multiple response (where considering relocation) </w:t>
      </w:r>
    </w:p>
    <w:p w:rsidR="00F73F7F" w:rsidRPr="00F73F7F" w:rsidRDefault="00F73F7F" w:rsidP="00F73F7F">
      <w:pPr>
        <w:rPr>
          <w:lang w:eastAsia="en-GB"/>
        </w:rPr>
      </w:pPr>
      <w:r w:rsidRPr="00F73F7F">
        <w:rPr>
          <w:noProof/>
          <w:lang w:eastAsia="en-GB"/>
        </w:rPr>
        <w:drawing>
          <wp:inline distT="0" distB="0" distL="0" distR="0">
            <wp:extent cx="6124575" cy="6029325"/>
            <wp:effectExtent l="0" t="0" r="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3F7F" w:rsidRDefault="00F73F7F" w:rsidP="00F73F7F">
      <w:pPr>
        <w:pStyle w:val="BodyText"/>
        <w:rPr>
          <w:rFonts w:cs="Arial"/>
          <w:sz w:val="18"/>
        </w:rPr>
      </w:pPr>
      <w:r>
        <w:rPr>
          <w:rFonts w:cs="Arial"/>
          <w:sz w:val="18"/>
        </w:rPr>
        <w:t>Unweighted sample base = 1,</w:t>
      </w:r>
      <w:r w:rsidR="00780C92">
        <w:rPr>
          <w:rFonts w:cs="Arial"/>
          <w:sz w:val="18"/>
        </w:rPr>
        <w:t>5</w:t>
      </w:r>
      <w:r>
        <w:rPr>
          <w:rFonts w:cs="Arial"/>
          <w:sz w:val="18"/>
        </w:rPr>
        <w:t>15</w:t>
      </w:r>
    </w:p>
    <w:p w:rsidR="00F73F7F" w:rsidRPr="0073300F" w:rsidRDefault="00F73F7F" w:rsidP="00F73F7F">
      <w:pPr>
        <w:pStyle w:val="BodyText"/>
        <w:rPr>
          <w:sz w:val="18"/>
        </w:rPr>
      </w:pPr>
      <w:r w:rsidRPr="0073300F">
        <w:rPr>
          <w:rFonts w:cs="Arial"/>
          <w:sz w:val="18"/>
        </w:rPr>
        <w:t>QA7.  For how long has the business been trading in Greater Lincolnshire?</w:t>
      </w:r>
    </w:p>
    <w:p w:rsidR="00F73F7F" w:rsidRDefault="00F73F7F" w:rsidP="00F73F7F"/>
    <w:p w:rsidR="0044589D" w:rsidRDefault="005E11F8" w:rsidP="005E11F8">
      <w:pPr>
        <w:pStyle w:val="Heading2"/>
      </w:pPr>
      <w:bookmarkStart w:id="20" w:name="_Toc394057511"/>
      <w:r>
        <w:t>Perceptions of Greater Lincolnshire as a place to do business</w:t>
      </w:r>
      <w:bookmarkEnd w:id="20"/>
    </w:p>
    <w:p w:rsidR="005E11F8" w:rsidRDefault="00E3671E" w:rsidP="005E11F8">
      <w:pPr>
        <w:pStyle w:val="BodyText"/>
      </w:pPr>
      <w:r>
        <w:t>Employers</w:t>
      </w:r>
      <w:r w:rsidR="00593C42">
        <w:t xml:space="preserve"> were asked to rate </w:t>
      </w:r>
      <w:r w:rsidR="00A83205">
        <w:t>twelve</w:t>
      </w:r>
      <w:r w:rsidR="00593C42">
        <w:t xml:space="preserve"> aspects</w:t>
      </w:r>
      <w:r w:rsidR="003522B4">
        <w:t xml:space="preserve"> of being located for business purposes in Greater Lincolnshire</w:t>
      </w:r>
      <w:r w:rsidR="00593C42">
        <w:t xml:space="preserve"> relating to premises and geographical location</w:t>
      </w:r>
      <w:r w:rsidR="003522B4">
        <w:t xml:space="preserve">.  </w:t>
      </w:r>
      <w:r w:rsidR="00593C42">
        <w:t xml:space="preserve"> </w:t>
      </w:r>
      <w:r w:rsidR="003522B4">
        <w:t>They were asked to rate Greater Lincolnshire for each on a scale of one to ten, where one is poor and ten is good.</w:t>
      </w:r>
    </w:p>
    <w:p w:rsidR="00E3671E" w:rsidRDefault="00E3671E">
      <w:pPr>
        <w:spacing w:after="360"/>
        <w:rPr>
          <w:rFonts w:ascii="Arial" w:hAnsi="Arial"/>
        </w:rPr>
      </w:pPr>
      <w:r>
        <w:br w:type="page"/>
      </w:r>
    </w:p>
    <w:p w:rsidR="003522B4" w:rsidRDefault="00A83205" w:rsidP="005E11F8">
      <w:pPr>
        <w:pStyle w:val="BodyText"/>
      </w:pPr>
      <w:r>
        <w:lastRenderedPageBreak/>
        <w:t>One in ten employers (1</w:t>
      </w:r>
      <w:r w:rsidR="00D21A05">
        <w:t>1</w:t>
      </w:r>
      <w:r>
        <w:t xml:space="preserve">%) gave Greater Lincolnshire a rating of 8 or above on at least eight of the twelve aspects, suggesting that they have a very positive view of the area as a place to do business.  This is set against just </w:t>
      </w:r>
      <w:r w:rsidR="00D21A05">
        <w:t>4</w:t>
      </w:r>
      <w:r>
        <w:t>% that gave a rating of 4 or below on at least eight of the twelve aspects, thus, indicating a mostly negative view of the area.</w:t>
      </w:r>
    </w:p>
    <w:p w:rsidR="00A83205" w:rsidRDefault="003C2317" w:rsidP="005E11F8">
      <w:pPr>
        <w:pStyle w:val="BodyText"/>
      </w:pPr>
      <w:r>
        <w:t xml:space="preserve">In terms of the most positive aspects, based on where </w:t>
      </w:r>
      <w:r w:rsidR="00E3671E">
        <w:t>employers</w:t>
      </w:r>
      <w:r>
        <w:t xml:space="preserve"> provided a rating between 1 and 10 (excluding ‘don’t knows’); access to customers, a wide range of housing and strong communities are rated at 8 or above by around half (</w:t>
      </w:r>
      <w:r w:rsidR="00D21A05">
        <w:t>50</w:t>
      </w:r>
      <w:r>
        <w:t>%; 4</w:t>
      </w:r>
      <w:r w:rsidR="00D21A05">
        <w:t>9</w:t>
      </w:r>
      <w:r>
        <w:t>%; 4</w:t>
      </w:r>
      <w:r w:rsidR="00D21A05">
        <w:t>8</w:t>
      </w:r>
      <w:r>
        <w:t>% respectively).</w:t>
      </w:r>
    </w:p>
    <w:p w:rsidR="003C2317" w:rsidRDefault="003C2317" w:rsidP="005E11F8">
      <w:pPr>
        <w:pStyle w:val="BodyText"/>
      </w:pPr>
      <w:r>
        <w:t xml:space="preserve">Greater Lincolnshire scores least well for the profile of the county in terms of </w:t>
      </w:r>
      <w:r w:rsidR="007E4AAD">
        <w:t>attracting people to move here to work (23% giving a rating of 8 or above</w:t>
      </w:r>
      <w:r w:rsidR="001469A2">
        <w:t>; 24% giving a rating of 4 or below</w:t>
      </w:r>
      <w:r w:rsidR="007E4AAD">
        <w:t>) and the transport infrastructure (21%</w:t>
      </w:r>
      <w:r w:rsidR="001469A2">
        <w:t>; 38%</w:t>
      </w:r>
      <w:r w:rsidR="007E4AAD">
        <w:t>).</w:t>
      </w:r>
    </w:p>
    <w:p w:rsidR="00CF0A72" w:rsidRDefault="00CF0A72" w:rsidP="00CF0A72">
      <w:pPr>
        <w:pStyle w:val="Caption"/>
      </w:pPr>
      <w:r>
        <w:t xml:space="preserve">Figure 3.5:   Ratings of Greater Lincolnshire as a place to do business (all </w:t>
      </w:r>
      <w:r w:rsidR="00E3671E">
        <w:t>employers</w:t>
      </w:r>
      <w:r>
        <w:t xml:space="preserve"> – where provided a rating of between 1 and 10, where 1 is poor and 10 is good) </w:t>
      </w:r>
    </w:p>
    <w:p w:rsidR="00CF0A72" w:rsidRDefault="003D6656" w:rsidP="00CF0A72">
      <w:pPr>
        <w:pStyle w:val="Caption"/>
      </w:pPr>
      <w:r w:rsidRPr="003D6656">
        <w:rPr>
          <w:noProof/>
          <w:lang w:eastAsia="en-GB"/>
        </w:rPr>
        <w:drawing>
          <wp:inline distT="0" distB="0" distL="0" distR="0">
            <wp:extent cx="5943600" cy="4962525"/>
            <wp:effectExtent l="0" t="0" r="0"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0A72" w:rsidRDefault="00CF0A72" w:rsidP="00CF0A72">
      <w:pPr>
        <w:pStyle w:val="BodyText"/>
        <w:rPr>
          <w:rFonts w:cs="Arial"/>
          <w:sz w:val="18"/>
        </w:rPr>
      </w:pPr>
      <w:r>
        <w:rPr>
          <w:rFonts w:cs="Arial"/>
          <w:sz w:val="18"/>
        </w:rPr>
        <w:t xml:space="preserve">Unweighted sample </w:t>
      </w:r>
      <w:r w:rsidR="003D6656">
        <w:rPr>
          <w:rFonts w:cs="Arial"/>
          <w:sz w:val="18"/>
        </w:rPr>
        <w:t>bases in parentheses</w:t>
      </w:r>
    </w:p>
    <w:p w:rsidR="00CF0A72" w:rsidRPr="0073300F" w:rsidRDefault="003D6656" w:rsidP="00CF0A72">
      <w:pPr>
        <w:pStyle w:val="BodyText"/>
        <w:rPr>
          <w:sz w:val="18"/>
        </w:rPr>
      </w:pPr>
      <w:r>
        <w:rPr>
          <w:rFonts w:cs="Arial"/>
          <w:sz w:val="18"/>
        </w:rPr>
        <w:t>QD1</w:t>
      </w:r>
      <w:r w:rsidR="00CF0A72" w:rsidRPr="0073300F">
        <w:rPr>
          <w:rFonts w:cs="Arial"/>
          <w:sz w:val="18"/>
        </w:rPr>
        <w:t xml:space="preserve">.  </w:t>
      </w:r>
      <w:r>
        <w:rPr>
          <w:rFonts w:cs="Arial"/>
          <w:sz w:val="18"/>
        </w:rPr>
        <w:t>On a scale of 1 to 10, where 1 is poor and 10 is good, how would you rate Greater Lincolnshire on the following factors as a place for your business to be located</w:t>
      </w:r>
      <w:r w:rsidR="00CF0A72" w:rsidRPr="0073300F">
        <w:rPr>
          <w:rFonts w:cs="Arial"/>
          <w:sz w:val="18"/>
        </w:rPr>
        <w:t>?</w:t>
      </w:r>
    </w:p>
    <w:p w:rsidR="00CF0A72" w:rsidRDefault="00451CA9" w:rsidP="005E11F8">
      <w:pPr>
        <w:pStyle w:val="BodyText"/>
      </w:pPr>
      <w:r>
        <w:t>Views vary by LAD, highlighting the impact of the local perspective.  The following table presents mean ratings or average score for each of the aspects, where the higher the score the more positive employers are.</w:t>
      </w:r>
    </w:p>
    <w:p w:rsidR="005A71AC" w:rsidRDefault="005A71AC" w:rsidP="005E11F8">
      <w:pPr>
        <w:pStyle w:val="BodyText"/>
      </w:pPr>
      <w:r>
        <w:lastRenderedPageBreak/>
        <w:t xml:space="preserve">Access to customers and suppliers, as well as the transport infrastructure is more highly rated than average in North East Lincolnshire.  Employers in Lincoln are particularly positive about opportunities for growth and access to skilled staff in the area, while those in West Lindsey rate Greater Lincolnshire’s image relatively highly.  </w:t>
      </w:r>
    </w:p>
    <w:p w:rsidR="00451CA9" w:rsidRDefault="00451CA9" w:rsidP="00451CA9">
      <w:pPr>
        <w:pStyle w:val="Caption"/>
      </w:pPr>
      <w:r>
        <w:t xml:space="preserve">Table 3.6:  Mean ratings of Greater Lincolnshire as a place to do business, by LAD (all </w:t>
      </w:r>
      <w:r w:rsidR="00E3671E">
        <w:t>employers</w:t>
      </w:r>
      <w:r>
        <w:t xml:space="preserve"> – where provided a rating of between 1 and 10, where 1 is poor and 10 is good) </w:t>
      </w:r>
    </w:p>
    <w:tbl>
      <w:tblPr>
        <w:tblStyle w:val="LightList-Accent6"/>
        <w:tblW w:w="9828" w:type="dxa"/>
        <w:tblInd w:w="-459" w:type="dxa"/>
        <w:tblLook w:val="04A0" w:firstRow="1" w:lastRow="0" w:firstColumn="1" w:lastColumn="0" w:noHBand="0" w:noVBand="1"/>
      </w:tblPr>
      <w:tblGrid>
        <w:gridCol w:w="2694"/>
        <w:gridCol w:w="684"/>
        <w:gridCol w:w="645"/>
        <w:gridCol w:w="645"/>
        <w:gridCol w:w="645"/>
        <w:gridCol w:w="645"/>
        <w:gridCol w:w="645"/>
        <w:gridCol w:w="645"/>
        <w:gridCol w:w="645"/>
        <w:gridCol w:w="645"/>
        <w:gridCol w:w="645"/>
        <w:gridCol w:w="645"/>
      </w:tblGrid>
      <w:tr w:rsidR="00780C92" w:rsidRPr="003C0922" w:rsidTr="008E5464">
        <w:trPr>
          <w:cnfStyle w:val="100000000000" w:firstRow="1" w:lastRow="0" w:firstColumn="0" w:lastColumn="0" w:oddVBand="0" w:evenVBand="0" w:oddHBand="0"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3C0922">
            <w:pPr>
              <w:spacing w:before="60" w:after="60"/>
              <w:rPr>
                <w:rFonts w:cstheme="minorHAnsi"/>
                <w:b w:val="0"/>
                <w:sz w:val="20"/>
              </w:rPr>
            </w:pPr>
          </w:p>
        </w:tc>
        <w:tc>
          <w:tcPr>
            <w:tcW w:w="684" w:type="dxa"/>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Greater Lincolnshire</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Lincolnshire County</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North East Lincolnshire</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North Lincolnshire</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Boston</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East Lindsey</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Lincoln</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North Kesteven</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South Holland</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South Kesteven</w:t>
            </w:r>
          </w:p>
        </w:tc>
        <w:tc>
          <w:tcPr>
            <w:tcW w:w="645" w:type="dxa"/>
            <w:tcBorders>
              <w:bottom w:val="single" w:sz="8" w:space="0" w:color="73A5D8" w:themeColor="accent6"/>
            </w:tcBorders>
            <w:textDirection w:val="tbRl"/>
            <w:vAlign w:val="center"/>
          </w:tcPr>
          <w:p w:rsidR="00780C92" w:rsidRPr="0002235B" w:rsidRDefault="00780C92" w:rsidP="007560E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02235B">
              <w:rPr>
                <w:rFonts w:cstheme="minorHAnsi"/>
              </w:rPr>
              <w:t>West Lindsey</w:t>
            </w:r>
          </w:p>
        </w:tc>
      </w:tr>
      <w:tr w:rsidR="00780C9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Access to customers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7.14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7.04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7.56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7.26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7.22</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6.68</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7.30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6.81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7.30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6.99</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7.36</w:t>
            </w:r>
          </w:p>
        </w:tc>
      </w:tr>
      <w:tr w:rsidR="00780C92" w:rsidTr="00780C92">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Wide range of housing</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7.07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6.98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7.28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7.30</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6.18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6.65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7.22</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6.97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7.16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7.33</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7.12</w:t>
            </w:r>
          </w:p>
        </w:tc>
      </w:tr>
      <w:tr w:rsidR="00780C9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Strong communities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7.04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7.06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6.91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7.11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6.54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7.05</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7.14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7.06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6.99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7.17</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7.24</w:t>
            </w:r>
          </w:p>
        </w:tc>
      </w:tr>
      <w:tr w:rsidR="00780C92" w:rsidTr="00780C92">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Access to suppliers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6.94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6.84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7.48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6.97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6.78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6.45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6.73</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6.90</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7.27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6.96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7.02</w:t>
            </w:r>
          </w:p>
        </w:tc>
      </w:tr>
      <w:tr w:rsidR="00780C9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A place my business can grow</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6.86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6.84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7.12</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6.75</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6.59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6.33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7.33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6.77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6.83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7.00</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7.26</w:t>
            </w:r>
          </w:p>
        </w:tc>
      </w:tr>
      <w:tr w:rsidR="00780C92" w:rsidTr="00780C92">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Availability of skilled staff</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6.39</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6.29</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6.54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6.78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6.16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5.74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6.84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6.25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6.35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6.46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6.44</w:t>
            </w:r>
          </w:p>
        </w:tc>
      </w:tr>
      <w:tr w:rsidR="00780C9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Cost of premises/rents/ business rates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6.37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6.27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6.80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6.50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6.18</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6.34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6.08</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6.09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6.73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6.30</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6.03</w:t>
            </w:r>
          </w:p>
        </w:tc>
      </w:tr>
      <w:tr w:rsidR="00780C92" w:rsidTr="00780C92">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Image of Greater Lincolnshire as seen by external suppliers and customers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6.14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6.13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6.25</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6.09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5.81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5.91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6.20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6.11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6.21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6.18</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6.54</w:t>
            </w:r>
          </w:p>
        </w:tc>
      </w:tr>
      <w:tr w:rsidR="00780C9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Range of retail and leisure facilities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6.11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6.01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6.41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6.31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5.62</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5.70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6.63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6.09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5.87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6.13</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6.05</w:t>
            </w:r>
          </w:p>
        </w:tc>
      </w:tr>
      <w:tr w:rsidR="00780C92" w:rsidTr="00780C92">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Support is available for businesses to grow</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5.96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5.92</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6.15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6.00</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5.58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5.48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6.54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5.96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5.89</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6.07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6.05</w:t>
            </w:r>
          </w:p>
        </w:tc>
      </w:tr>
      <w:tr w:rsidR="00780C9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The profile of the county in terms of attracting people to move here to work</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5.81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5.86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5.73</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5.59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5.49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C0922">
              <w:rPr>
                <w:rFonts w:cstheme="minorHAnsi"/>
                <w:i/>
                <w:color w:val="000000"/>
              </w:rPr>
              <w:t>5.48</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6.16</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5.79</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5.97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C0922">
              <w:rPr>
                <w:rFonts w:cstheme="minorHAnsi"/>
                <w:b/>
                <w:color w:val="000000"/>
              </w:rPr>
              <w:t>6.15</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C0922">
              <w:rPr>
                <w:rFonts w:cstheme="minorHAnsi"/>
                <w:color w:val="000000"/>
              </w:rPr>
              <w:t>6.03</w:t>
            </w:r>
          </w:p>
        </w:tc>
      </w:tr>
      <w:tr w:rsidR="00780C92" w:rsidTr="00780C92">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color w:val="000000"/>
                <w:sz w:val="20"/>
              </w:rPr>
            </w:pPr>
            <w:r w:rsidRPr="003C0922">
              <w:rPr>
                <w:rFonts w:cstheme="minorHAnsi"/>
                <w:b w:val="0"/>
                <w:color w:val="000000"/>
                <w:sz w:val="20"/>
              </w:rPr>
              <w:t>Transport infrastructure</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5.27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4.92</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6.31</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6.12</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4.38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0922">
              <w:rPr>
                <w:rFonts w:cstheme="minorHAnsi"/>
                <w:i/>
                <w:color w:val="000000"/>
              </w:rPr>
              <w:t>4.17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4.90</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4.94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5.30</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C0922">
              <w:rPr>
                <w:rFonts w:cstheme="minorHAnsi"/>
                <w:b/>
                <w:color w:val="000000"/>
              </w:rPr>
              <w:t>5.74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C0922">
              <w:rPr>
                <w:rFonts w:cstheme="minorHAnsi"/>
                <w:color w:val="000000"/>
              </w:rPr>
              <w:t>5.01</w:t>
            </w:r>
          </w:p>
        </w:tc>
      </w:tr>
      <w:tr w:rsidR="00780C92" w:rsidRPr="003C0922" w:rsidTr="0078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80C92" w:rsidRPr="003C0922" w:rsidRDefault="00780C92" w:rsidP="0002235B">
            <w:pPr>
              <w:spacing w:before="60" w:after="60"/>
              <w:rPr>
                <w:rFonts w:cstheme="minorHAnsi"/>
                <w:b w:val="0"/>
                <w:i/>
                <w:color w:val="000000"/>
                <w:sz w:val="20"/>
              </w:rPr>
            </w:pPr>
            <w:r w:rsidRPr="003C0922">
              <w:rPr>
                <w:rFonts w:cstheme="minorHAnsi"/>
                <w:b w:val="0"/>
                <w:i/>
                <w:color w:val="000000"/>
                <w:sz w:val="18"/>
              </w:rPr>
              <w:t>Maximum unweighted sample bases</w:t>
            </w:r>
          </w:p>
        </w:tc>
        <w:tc>
          <w:tcPr>
            <w:tcW w:w="684" w:type="dxa"/>
            <w:tcBorders>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w:t>
            </w:r>
            <w:r>
              <w:rPr>
                <w:rFonts w:cstheme="minorHAnsi"/>
                <w:i/>
                <w:color w:val="000000"/>
                <w:sz w:val="18"/>
              </w:rPr>
              <w:t>5</w:t>
            </w:r>
            <w:r w:rsidRPr="003C0922">
              <w:rPr>
                <w:rFonts w:cstheme="minorHAnsi"/>
                <w:i/>
                <w:color w:val="000000"/>
                <w:sz w:val="18"/>
              </w:rPr>
              <w:t>15</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1141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177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197</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130</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192</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161</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158</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154</w:t>
            </w:r>
          </w:p>
        </w:tc>
        <w:tc>
          <w:tcPr>
            <w:tcW w:w="645" w:type="dxa"/>
            <w:tcBorders>
              <w:left w:val="single" w:sz="8" w:space="0" w:color="73A5D8" w:themeColor="accent6"/>
              <w:righ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199</w:t>
            </w:r>
          </w:p>
        </w:tc>
        <w:tc>
          <w:tcPr>
            <w:tcW w:w="645" w:type="dxa"/>
            <w:tcBorders>
              <w:left w:val="single" w:sz="8" w:space="0" w:color="73A5D8" w:themeColor="accent6"/>
            </w:tcBorders>
            <w:vAlign w:val="center"/>
          </w:tcPr>
          <w:p w:rsidR="00780C92" w:rsidRPr="003C092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sidRPr="003C0922">
              <w:rPr>
                <w:rFonts w:cstheme="minorHAnsi"/>
                <w:i/>
                <w:color w:val="000000"/>
                <w:sz w:val="18"/>
              </w:rPr>
              <w:t>147</w:t>
            </w:r>
          </w:p>
        </w:tc>
      </w:tr>
    </w:tbl>
    <w:p w:rsidR="00451CA9" w:rsidRPr="006E14C7" w:rsidRDefault="006E14C7" w:rsidP="005E11F8">
      <w:pPr>
        <w:pStyle w:val="BodyText"/>
        <w:rPr>
          <w:i/>
          <w:sz w:val="1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CF0A72" w:rsidRDefault="005A71AC" w:rsidP="005E11F8">
      <w:pPr>
        <w:pStyle w:val="BodyText"/>
      </w:pPr>
      <w:r>
        <w:t>Employers based in Boston and East Lindsey are among the least satisfied with the area, particularly with regard to the transport infrastructure, the range of housing and retail/leisure facilities and access to customers, suppliers and skilled staff.</w:t>
      </w:r>
    </w:p>
    <w:p w:rsidR="0099192A" w:rsidRDefault="0099192A" w:rsidP="005E11F8">
      <w:pPr>
        <w:pStyle w:val="BodyText"/>
      </w:pPr>
      <w:r>
        <w:lastRenderedPageBreak/>
        <w:t>By sector there are few significant differences between mean ratings, although employers within distribution/hotels</w:t>
      </w:r>
      <w:r w:rsidR="001854CA">
        <w:t>/</w:t>
      </w:r>
      <w:r>
        <w:t xml:space="preserve">restaurants and public administration, education and health are particularly positive about the availability of skilled staff in the area.  Employers in banking, finance &amp; insurance are </w:t>
      </w:r>
      <w:r w:rsidR="00B41504">
        <w:t xml:space="preserve">among </w:t>
      </w:r>
      <w:r>
        <w:t>the most negative</w:t>
      </w:r>
      <w:r w:rsidR="00B41504">
        <w:t>, particularly with regard to the profile and image of the county as a place to do business</w:t>
      </w:r>
      <w:r>
        <w:t>.</w:t>
      </w:r>
    </w:p>
    <w:p w:rsidR="00A732E8" w:rsidRDefault="00A732E8" w:rsidP="00A732E8">
      <w:pPr>
        <w:pStyle w:val="Caption"/>
      </w:pPr>
      <w:r>
        <w:t xml:space="preserve">Table 3.7:  Mean ratings of Greater Lincolnshire as a place to do business, by LAD (all </w:t>
      </w:r>
      <w:r w:rsidR="00E3671E">
        <w:t>employers</w:t>
      </w:r>
      <w:r>
        <w:t xml:space="preserve"> – where provided a rating of between 1 and 10, where 1 is poor and 10 is good)</w:t>
      </w:r>
    </w:p>
    <w:tbl>
      <w:tblPr>
        <w:tblStyle w:val="LightList-Accent6"/>
        <w:tblW w:w="10489" w:type="dxa"/>
        <w:tblInd w:w="-459" w:type="dxa"/>
        <w:tblLook w:val="04A0" w:firstRow="1" w:lastRow="0" w:firstColumn="1" w:lastColumn="0" w:noHBand="0" w:noVBand="1"/>
      </w:tblPr>
      <w:tblGrid>
        <w:gridCol w:w="3402"/>
        <w:gridCol w:w="850"/>
        <w:gridCol w:w="709"/>
        <w:gridCol w:w="992"/>
        <w:gridCol w:w="709"/>
        <w:gridCol w:w="645"/>
        <w:gridCol w:w="773"/>
        <w:gridCol w:w="850"/>
        <w:gridCol w:w="645"/>
        <w:gridCol w:w="914"/>
      </w:tblGrid>
      <w:tr w:rsidR="00A732E8" w:rsidRPr="0002235B" w:rsidTr="007C140E">
        <w:trPr>
          <w:cnfStyle w:val="100000000000" w:firstRow="1" w:lastRow="0" w:firstColumn="0" w:lastColumn="0" w:oddVBand="0" w:evenVBand="0" w:oddHBand="0" w:evenHBand="0" w:firstRowFirstColumn="0" w:firstRowLastColumn="0" w:lastRowFirstColumn="0" w:lastRowLastColumn="0"/>
          <w:cantSplit/>
          <w:trHeight w:val="2356"/>
        </w:trPr>
        <w:tc>
          <w:tcPr>
            <w:cnfStyle w:val="001000000000" w:firstRow="0" w:lastRow="0" w:firstColumn="1" w:lastColumn="0" w:oddVBand="0" w:evenVBand="0" w:oddHBand="0" w:evenHBand="0" w:firstRowFirstColumn="0" w:firstRowLastColumn="0" w:lastRowFirstColumn="0" w:lastRowLastColumn="0"/>
            <w:tcW w:w="3402" w:type="dxa"/>
            <w:noWrap/>
            <w:textDirection w:val="tbRl"/>
            <w:vAlign w:val="center"/>
            <w:hideMark/>
          </w:tcPr>
          <w:p w:rsidR="00A732E8" w:rsidRPr="00A732E8" w:rsidRDefault="00A732E8" w:rsidP="00A732E8">
            <w:pPr>
              <w:spacing w:after="0"/>
              <w:ind w:left="113" w:right="113"/>
              <w:jc w:val="right"/>
              <w:rPr>
                <w:rFonts w:eastAsia="Times New Roman" w:cstheme="minorHAnsi"/>
                <w:b w:val="0"/>
                <w:sz w:val="20"/>
                <w:lang w:eastAsia="en-GB"/>
              </w:rPr>
            </w:pPr>
          </w:p>
        </w:tc>
        <w:tc>
          <w:tcPr>
            <w:tcW w:w="850" w:type="dxa"/>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sidR="007C140E">
              <w:rPr>
                <w:rFonts w:eastAsia="Times New Roman" w:cstheme="minorHAnsi"/>
                <w:lang w:eastAsia="en-GB"/>
              </w:rPr>
              <w:t>ulture/f</w:t>
            </w:r>
            <w:r w:rsidRPr="0002235B">
              <w:rPr>
                <w:rFonts w:eastAsia="Times New Roman" w:cstheme="minorHAnsi"/>
                <w:lang w:eastAsia="en-GB"/>
              </w:rPr>
              <w:t>ishing</w:t>
            </w:r>
          </w:p>
        </w:tc>
        <w:tc>
          <w:tcPr>
            <w:tcW w:w="709" w:type="dxa"/>
            <w:tcBorders>
              <w:bottom w:val="single" w:sz="8" w:space="0" w:color="73A5D8" w:themeColor="accent6"/>
            </w:tcBorders>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sidR="007C140E">
              <w:rPr>
                <w:rFonts w:eastAsia="Times New Roman" w:cstheme="minorHAnsi"/>
                <w:lang w:eastAsia="en-GB"/>
              </w:rPr>
              <w:t>/w</w:t>
            </w:r>
            <w:r w:rsidRPr="0002235B">
              <w:rPr>
                <w:rFonts w:eastAsia="Times New Roman" w:cstheme="minorHAnsi"/>
                <w:lang w:eastAsia="en-GB"/>
              </w:rPr>
              <w:t>ater*</w:t>
            </w:r>
          </w:p>
        </w:tc>
        <w:tc>
          <w:tcPr>
            <w:tcW w:w="992" w:type="dxa"/>
            <w:tcBorders>
              <w:bottom w:val="single" w:sz="8" w:space="0" w:color="73A5D8" w:themeColor="accent6"/>
            </w:tcBorders>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sidR="007C140E">
              <w:rPr>
                <w:rFonts w:eastAsia="Times New Roman" w:cstheme="minorHAnsi"/>
                <w:lang w:eastAsia="en-GB"/>
              </w:rPr>
              <w:t>/f</w:t>
            </w:r>
            <w:r w:rsidRPr="0002235B">
              <w:rPr>
                <w:rFonts w:eastAsia="Times New Roman" w:cstheme="minorHAnsi"/>
                <w:lang w:eastAsia="en-GB"/>
              </w:rPr>
              <w:t>inance</w:t>
            </w:r>
            <w:r w:rsidR="007C140E">
              <w:rPr>
                <w:rFonts w:eastAsia="Times New Roman" w:cstheme="minorHAnsi"/>
                <w:lang w:eastAsia="en-GB"/>
              </w:rPr>
              <w:t>/ i</w:t>
            </w:r>
            <w:r w:rsidRPr="0002235B">
              <w:rPr>
                <w:rFonts w:eastAsia="Times New Roman" w:cstheme="minorHAnsi"/>
                <w:lang w:eastAsia="en-GB"/>
              </w:rPr>
              <w:t>nsurance</w:t>
            </w:r>
          </w:p>
        </w:tc>
        <w:tc>
          <w:tcPr>
            <w:tcW w:w="709" w:type="dxa"/>
            <w:tcBorders>
              <w:bottom w:val="single" w:sz="8" w:space="0" w:color="73A5D8" w:themeColor="accent6"/>
            </w:tcBorders>
            <w:noWrap/>
            <w:textDirection w:val="tbRl"/>
            <w:vAlign w:val="center"/>
            <w:hideMark/>
          </w:tcPr>
          <w:p w:rsidR="00A732E8" w:rsidRPr="0002235B" w:rsidRDefault="00A732E8" w:rsidP="00A732E8">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645" w:type="dxa"/>
            <w:tcBorders>
              <w:bottom w:val="single" w:sz="8" w:space="0" w:color="73A5D8" w:themeColor="accent6"/>
            </w:tcBorders>
            <w:noWrap/>
            <w:textDirection w:val="tbRl"/>
            <w:vAlign w:val="center"/>
            <w:hideMark/>
          </w:tcPr>
          <w:p w:rsidR="00A732E8" w:rsidRPr="0002235B" w:rsidRDefault="00A732E8" w:rsidP="00A732E8">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773" w:type="dxa"/>
            <w:tcBorders>
              <w:bottom w:val="single" w:sz="8" w:space="0" w:color="73A5D8" w:themeColor="accent6"/>
            </w:tcBorders>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sidR="007C140E">
              <w:rPr>
                <w:rFonts w:eastAsia="Times New Roman" w:cstheme="minorHAnsi"/>
                <w:lang w:eastAsia="en-GB"/>
              </w:rPr>
              <w:t>ribution/hotels/ r</w:t>
            </w:r>
            <w:r w:rsidRPr="0002235B">
              <w:rPr>
                <w:rFonts w:eastAsia="Times New Roman" w:cstheme="minorHAnsi"/>
                <w:lang w:eastAsia="en-GB"/>
              </w:rPr>
              <w:t>estaurants</w:t>
            </w:r>
          </w:p>
        </w:tc>
        <w:tc>
          <w:tcPr>
            <w:tcW w:w="850" w:type="dxa"/>
            <w:tcBorders>
              <w:bottom w:val="single" w:sz="8" w:space="0" w:color="73A5D8" w:themeColor="accent6"/>
            </w:tcBorders>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sidR="007C140E">
              <w:rPr>
                <w:rFonts w:eastAsia="Times New Roman" w:cstheme="minorHAnsi"/>
                <w:lang w:eastAsia="en-GB"/>
              </w:rPr>
              <w:t>/c</w:t>
            </w:r>
            <w:r w:rsidRPr="0002235B">
              <w:rPr>
                <w:rFonts w:eastAsia="Times New Roman" w:cstheme="minorHAnsi"/>
                <w:lang w:eastAsia="en-GB"/>
              </w:rPr>
              <w:t>omm</w:t>
            </w:r>
            <w:r w:rsidR="007C140E">
              <w:rPr>
                <w:rFonts w:eastAsia="Times New Roman" w:cstheme="minorHAnsi"/>
                <w:lang w:eastAsia="en-GB"/>
              </w:rPr>
              <w:t>unications</w:t>
            </w:r>
          </w:p>
        </w:tc>
        <w:tc>
          <w:tcPr>
            <w:tcW w:w="645" w:type="dxa"/>
            <w:tcBorders>
              <w:bottom w:val="single" w:sz="8" w:space="0" w:color="73A5D8" w:themeColor="accent6"/>
            </w:tcBorders>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sidR="007C140E">
              <w:rPr>
                <w:rFonts w:eastAsia="Times New Roman" w:cstheme="minorHAnsi"/>
                <w:lang w:eastAsia="en-GB"/>
              </w:rPr>
              <w:t>s</w:t>
            </w:r>
            <w:r w:rsidRPr="0002235B">
              <w:rPr>
                <w:rFonts w:eastAsia="Times New Roman" w:cstheme="minorHAnsi"/>
                <w:lang w:eastAsia="en-GB"/>
              </w:rPr>
              <w:t>ervices</w:t>
            </w:r>
          </w:p>
        </w:tc>
        <w:tc>
          <w:tcPr>
            <w:tcW w:w="914" w:type="dxa"/>
            <w:noWrap/>
            <w:textDirection w:val="tbRl"/>
            <w:vAlign w:val="center"/>
            <w:hideMark/>
          </w:tcPr>
          <w:p w:rsidR="00A732E8" w:rsidRPr="0002235B" w:rsidRDefault="00A732E8"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sidR="007C140E">
              <w:rPr>
                <w:rFonts w:eastAsia="Times New Roman" w:cstheme="minorHAnsi"/>
                <w:lang w:eastAsia="en-GB"/>
              </w:rPr>
              <w:t>a</w:t>
            </w:r>
            <w:r w:rsidRPr="0002235B">
              <w:rPr>
                <w:rFonts w:eastAsia="Times New Roman" w:cstheme="minorHAnsi"/>
                <w:lang w:eastAsia="en-GB"/>
              </w:rPr>
              <w:t>dmin</w:t>
            </w:r>
            <w:r w:rsidR="007C140E">
              <w:rPr>
                <w:rFonts w:eastAsia="Times New Roman" w:cstheme="minorHAnsi"/>
                <w:lang w:eastAsia="en-GB"/>
              </w:rPr>
              <w:t>istration/ education/health</w:t>
            </w:r>
          </w:p>
        </w:tc>
      </w:tr>
      <w:tr w:rsidR="00780C92" w:rsidRPr="00A732E8"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Cost of premises/rents/business rates</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5.98</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6.4</w:t>
            </w:r>
            <w:r>
              <w:rPr>
                <w:rFonts w:cstheme="minorHAnsi"/>
                <w:color w:val="000000"/>
              </w:rPr>
              <w:t>0</w:t>
            </w:r>
          </w:p>
        </w:tc>
        <w:tc>
          <w:tcPr>
            <w:tcW w:w="992"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6.49</w:t>
            </w:r>
          </w:p>
        </w:tc>
        <w:tc>
          <w:tcPr>
            <w:tcW w:w="709" w:type="dxa"/>
            <w:tcBorders>
              <w:left w:val="single" w:sz="8" w:space="0" w:color="73A5D8" w:themeColor="accent6"/>
              <w:right w:val="single" w:sz="8" w:space="0" w:color="73A5D8" w:themeColor="accent6"/>
            </w:tcBorders>
            <w:noWrap/>
            <w:vAlign w:val="center"/>
            <w:hideMark/>
          </w:tcPr>
          <w:p w:rsidR="00780C92" w:rsidRPr="00D21A05"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21A05">
              <w:rPr>
                <w:rFonts w:cstheme="minorHAnsi"/>
                <w:b/>
                <w:color w:val="000000"/>
              </w:rPr>
              <w:t>6.86</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6.39</w:t>
            </w:r>
          </w:p>
        </w:tc>
        <w:tc>
          <w:tcPr>
            <w:tcW w:w="773"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6.34</w:t>
            </w:r>
          </w:p>
        </w:tc>
        <w:tc>
          <w:tcPr>
            <w:tcW w:w="850"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6.47</w:t>
            </w:r>
          </w:p>
        </w:tc>
        <w:tc>
          <w:tcPr>
            <w:tcW w:w="645" w:type="dxa"/>
            <w:tcBorders>
              <w:left w:val="single" w:sz="8" w:space="0" w:color="73A5D8" w:themeColor="accent6"/>
              <w:right w:val="single" w:sz="8" w:space="0" w:color="73A5D8" w:themeColor="accent6"/>
            </w:tcBorders>
            <w:noWrap/>
            <w:vAlign w:val="center"/>
            <w:hideMark/>
          </w:tcPr>
          <w:p w:rsidR="00780C92" w:rsidRPr="00D21A05"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21A05">
              <w:rPr>
                <w:rFonts w:cstheme="minorHAnsi"/>
                <w:i/>
                <w:color w:val="000000"/>
              </w:rPr>
              <w:t>5.84</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6.54</w:t>
            </w:r>
          </w:p>
        </w:tc>
      </w:tr>
      <w:tr w:rsidR="00780C92" w:rsidRPr="00A732E8" w:rsidTr="0002235B">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Access to suppliers</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6.77</w:t>
            </w:r>
          </w:p>
        </w:tc>
        <w:tc>
          <w:tcPr>
            <w:tcW w:w="992"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D21A05"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21A05">
              <w:rPr>
                <w:rFonts w:cstheme="minorHAnsi"/>
                <w:i/>
                <w:color w:val="000000"/>
              </w:rPr>
              <w:t>6.72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6.55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7.2</w:t>
            </w:r>
            <w:r>
              <w:rPr>
                <w:rFonts w:cstheme="minorHAnsi"/>
                <w:color w:val="000000"/>
              </w:rPr>
              <w:t>0</w:t>
            </w:r>
          </w:p>
        </w:tc>
        <w:tc>
          <w:tcPr>
            <w:tcW w:w="773"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7.01</w:t>
            </w:r>
          </w:p>
        </w:tc>
        <w:tc>
          <w:tcPr>
            <w:tcW w:w="85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7.05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6.81</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7.14</w:t>
            </w:r>
          </w:p>
        </w:tc>
      </w:tr>
      <w:tr w:rsidR="00780C92" w:rsidRPr="00A732E8"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Access to customers</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7.08</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7.08</w:t>
            </w:r>
          </w:p>
        </w:tc>
        <w:tc>
          <w:tcPr>
            <w:tcW w:w="992"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6.97</w:t>
            </w:r>
          </w:p>
        </w:tc>
        <w:tc>
          <w:tcPr>
            <w:tcW w:w="709" w:type="dxa"/>
            <w:tcBorders>
              <w:left w:val="single" w:sz="8" w:space="0" w:color="73A5D8" w:themeColor="accent6"/>
              <w:right w:val="single" w:sz="8" w:space="0" w:color="73A5D8" w:themeColor="accent6"/>
            </w:tcBorders>
            <w:noWrap/>
            <w:vAlign w:val="center"/>
            <w:hideMark/>
          </w:tcPr>
          <w:p w:rsidR="00780C92" w:rsidRPr="00D21A05"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21A05">
              <w:rPr>
                <w:rFonts w:cstheme="minorHAnsi"/>
                <w:i/>
                <w:color w:val="000000"/>
              </w:rPr>
              <w:t>6.53</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7.24</w:t>
            </w:r>
          </w:p>
        </w:tc>
        <w:tc>
          <w:tcPr>
            <w:tcW w:w="773"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7.24</w:t>
            </w:r>
          </w:p>
        </w:tc>
        <w:tc>
          <w:tcPr>
            <w:tcW w:w="850"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7.18</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7.38</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7.19</w:t>
            </w:r>
          </w:p>
        </w:tc>
      </w:tr>
      <w:tr w:rsidR="00780C92" w:rsidRPr="00A732E8" w:rsidTr="0002235B">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Availability of skilled staff</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6.42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6.65</w:t>
            </w:r>
          </w:p>
        </w:tc>
        <w:tc>
          <w:tcPr>
            <w:tcW w:w="992"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D21A05"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21A05">
              <w:rPr>
                <w:rFonts w:cstheme="minorHAnsi"/>
                <w:i/>
                <w:color w:val="000000"/>
              </w:rPr>
              <w:t>6.03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D21A05"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21A05">
              <w:rPr>
                <w:rFonts w:cstheme="minorHAnsi"/>
                <w:i/>
                <w:color w:val="000000"/>
              </w:rPr>
              <w:t>5.86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6.32</w:t>
            </w:r>
          </w:p>
        </w:tc>
        <w:tc>
          <w:tcPr>
            <w:tcW w:w="773"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A82960"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A82960">
              <w:rPr>
                <w:rFonts w:cstheme="minorHAnsi"/>
                <w:b/>
                <w:color w:val="000000"/>
              </w:rPr>
              <w:t>6.63</w:t>
            </w:r>
          </w:p>
        </w:tc>
        <w:tc>
          <w:tcPr>
            <w:tcW w:w="85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5.99</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6.49</w:t>
            </w:r>
          </w:p>
        </w:tc>
        <w:tc>
          <w:tcPr>
            <w:tcW w:w="914" w:type="dxa"/>
            <w:tcBorders>
              <w:left w:val="single" w:sz="8" w:space="0" w:color="73A5D8" w:themeColor="accent6"/>
            </w:tcBorders>
            <w:noWrap/>
            <w:vAlign w:val="center"/>
            <w:hideMark/>
          </w:tcPr>
          <w:p w:rsidR="00780C92" w:rsidRPr="00A82960"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A82960">
              <w:rPr>
                <w:rFonts w:cstheme="minorHAnsi"/>
                <w:b/>
                <w:color w:val="000000"/>
              </w:rPr>
              <w:t>6.70</w:t>
            </w:r>
          </w:p>
        </w:tc>
      </w:tr>
      <w:tr w:rsidR="00780C92" w:rsidRPr="00A732E8"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A place my business can grow</w:t>
            </w:r>
          </w:p>
        </w:tc>
        <w:tc>
          <w:tcPr>
            <w:tcW w:w="850" w:type="dxa"/>
            <w:tcBorders>
              <w:right w:val="single" w:sz="8" w:space="0" w:color="73A5D8" w:themeColor="accent6"/>
            </w:tcBorders>
            <w:noWrap/>
            <w:vAlign w:val="center"/>
            <w:hideMark/>
          </w:tcPr>
          <w:p w:rsidR="00780C92" w:rsidRPr="00A82960"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A82960">
              <w:rPr>
                <w:rFonts w:cstheme="minorHAnsi"/>
                <w:i/>
                <w:color w:val="000000"/>
              </w:rPr>
              <w:t>6.16</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6.73</w:t>
            </w:r>
          </w:p>
        </w:tc>
        <w:tc>
          <w:tcPr>
            <w:tcW w:w="992"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7.04</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6.63</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6.89</w:t>
            </w:r>
          </w:p>
        </w:tc>
        <w:tc>
          <w:tcPr>
            <w:tcW w:w="773"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6.79</w:t>
            </w:r>
          </w:p>
        </w:tc>
        <w:tc>
          <w:tcPr>
            <w:tcW w:w="850"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6.98</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7.08</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6.16</w:t>
            </w:r>
          </w:p>
        </w:tc>
      </w:tr>
      <w:tr w:rsidR="00780C92" w:rsidRPr="00A732E8" w:rsidTr="0002235B">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Support is available for businesses to grow</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5.93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5.87</w:t>
            </w:r>
          </w:p>
        </w:tc>
        <w:tc>
          <w:tcPr>
            <w:tcW w:w="992"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5.94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5.78</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5.71</w:t>
            </w:r>
          </w:p>
        </w:tc>
        <w:tc>
          <w:tcPr>
            <w:tcW w:w="773"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5.98</w:t>
            </w:r>
          </w:p>
        </w:tc>
        <w:tc>
          <w:tcPr>
            <w:tcW w:w="85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5.69</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6.2</w:t>
            </w:r>
            <w:r>
              <w:rPr>
                <w:rFonts w:cstheme="minorHAnsi"/>
                <w:color w:val="000000"/>
              </w:rPr>
              <w:t>0</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6.21</w:t>
            </w:r>
          </w:p>
        </w:tc>
      </w:tr>
      <w:tr w:rsidR="00780C92" w:rsidRPr="00A732E8"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Strong communities</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6.67</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6.31</w:t>
            </w:r>
          </w:p>
        </w:tc>
        <w:tc>
          <w:tcPr>
            <w:tcW w:w="992"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7.05</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6.76</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7.13</w:t>
            </w:r>
          </w:p>
        </w:tc>
        <w:tc>
          <w:tcPr>
            <w:tcW w:w="773"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w:t>
            </w:r>
            <w:r>
              <w:rPr>
                <w:rFonts w:cstheme="minorHAnsi"/>
                <w:color w:val="000000"/>
              </w:rPr>
              <w:t>.00</w:t>
            </w:r>
          </w:p>
        </w:tc>
        <w:tc>
          <w:tcPr>
            <w:tcW w:w="850"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7.17</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7.26</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7.28</w:t>
            </w:r>
          </w:p>
        </w:tc>
      </w:tr>
      <w:tr w:rsidR="00780C92" w:rsidRPr="00A732E8" w:rsidTr="0002235B">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Wide range of housing</w:t>
            </w:r>
          </w:p>
        </w:tc>
        <w:tc>
          <w:tcPr>
            <w:tcW w:w="850" w:type="dxa"/>
            <w:tcBorders>
              <w:right w:val="single" w:sz="8" w:space="0" w:color="73A5D8" w:themeColor="accent6"/>
            </w:tcBorders>
            <w:noWrap/>
            <w:vAlign w:val="center"/>
            <w:hideMark/>
          </w:tcPr>
          <w:p w:rsidR="00780C92" w:rsidRPr="00A82960"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A82960">
              <w:rPr>
                <w:rFonts w:cstheme="minorHAnsi"/>
                <w:i/>
                <w:color w:val="000000"/>
              </w:rPr>
              <w:t>6.05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6.39</w:t>
            </w:r>
          </w:p>
        </w:tc>
        <w:tc>
          <w:tcPr>
            <w:tcW w:w="992"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7.14</w:t>
            </w:r>
          </w:p>
        </w:tc>
        <w:tc>
          <w:tcPr>
            <w:tcW w:w="773"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w:t>
            </w:r>
            <w:r>
              <w:rPr>
                <w:rFonts w:cstheme="minorHAnsi"/>
                <w:color w:val="000000"/>
              </w:rPr>
              <w:t>0</w:t>
            </w:r>
          </w:p>
        </w:tc>
        <w:tc>
          <w:tcPr>
            <w:tcW w:w="85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7.12</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7.43</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6.83</w:t>
            </w:r>
          </w:p>
        </w:tc>
      </w:tr>
      <w:tr w:rsidR="00780C92" w:rsidRPr="00A732E8"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Range of retail and leisure facilities</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w:t>
            </w:r>
            <w:r>
              <w:rPr>
                <w:rFonts w:cstheme="minorHAnsi"/>
                <w:color w:val="000000"/>
              </w:rPr>
              <w:t>0</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5.98</w:t>
            </w:r>
          </w:p>
        </w:tc>
        <w:tc>
          <w:tcPr>
            <w:tcW w:w="992"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6.08</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6.15</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6.33</w:t>
            </w:r>
          </w:p>
        </w:tc>
        <w:tc>
          <w:tcPr>
            <w:tcW w:w="773"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w:t>
            </w:r>
            <w:r>
              <w:rPr>
                <w:rFonts w:cstheme="minorHAnsi"/>
                <w:color w:val="000000"/>
              </w:rPr>
              <w:t>0</w:t>
            </w:r>
          </w:p>
        </w:tc>
        <w:tc>
          <w:tcPr>
            <w:tcW w:w="850"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5.86</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6.34</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5.97</w:t>
            </w:r>
          </w:p>
        </w:tc>
      </w:tr>
      <w:tr w:rsidR="00780C92" w:rsidRPr="00A732E8" w:rsidTr="0002235B">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The profile of the county in terms of attracting people to move here to work</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5.98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5.76</w:t>
            </w:r>
          </w:p>
        </w:tc>
        <w:tc>
          <w:tcPr>
            <w:tcW w:w="992"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A82960"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A82960">
              <w:rPr>
                <w:rFonts w:cstheme="minorHAnsi"/>
                <w:i/>
                <w:color w:val="000000"/>
              </w:rPr>
              <w:t>5.56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5.77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5.82</w:t>
            </w:r>
          </w:p>
        </w:tc>
        <w:tc>
          <w:tcPr>
            <w:tcW w:w="773"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5.84</w:t>
            </w:r>
          </w:p>
        </w:tc>
        <w:tc>
          <w:tcPr>
            <w:tcW w:w="85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5.67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6.15</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5.75</w:t>
            </w:r>
          </w:p>
        </w:tc>
      </w:tr>
      <w:tr w:rsidR="00780C92" w:rsidRPr="00A732E8"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Image of Greater Lincolnshire as seen by external suppliers and customers</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6.27</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5.88</w:t>
            </w:r>
          </w:p>
        </w:tc>
        <w:tc>
          <w:tcPr>
            <w:tcW w:w="992"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5.94</w:t>
            </w:r>
          </w:p>
        </w:tc>
        <w:tc>
          <w:tcPr>
            <w:tcW w:w="709"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5.95</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6.13</w:t>
            </w:r>
          </w:p>
        </w:tc>
        <w:tc>
          <w:tcPr>
            <w:tcW w:w="773"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6.18</w:t>
            </w:r>
          </w:p>
        </w:tc>
        <w:tc>
          <w:tcPr>
            <w:tcW w:w="850"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6.05</w:t>
            </w:r>
          </w:p>
        </w:tc>
        <w:tc>
          <w:tcPr>
            <w:tcW w:w="645" w:type="dxa"/>
            <w:tcBorders>
              <w:left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6.43</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0C92">
              <w:rPr>
                <w:rFonts w:cstheme="minorHAnsi"/>
                <w:color w:val="000000"/>
              </w:rPr>
              <w:t>6.17</w:t>
            </w:r>
          </w:p>
        </w:tc>
      </w:tr>
      <w:tr w:rsidR="00780C92" w:rsidRPr="00A732E8" w:rsidTr="0002235B">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780C92" w:rsidRPr="00A732E8" w:rsidRDefault="00780C92" w:rsidP="0002235B">
            <w:pPr>
              <w:spacing w:before="60" w:after="60"/>
              <w:rPr>
                <w:rFonts w:eastAsia="Times New Roman" w:cstheme="minorHAnsi"/>
                <w:b w:val="0"/>
                <w:color w:val="000000"/>
                <w:sz w:val="20"/>
                <w:lang w:eastAsia="en-GB"/>
              </w:rPr>
            </w:pPr>
            <w:r w:rsidRPr="00A732E8">
              <w:rPr>
                <w:rFonts w:eastAsia="Times New Roman" w:cstheme="minorHAnsi"/>
                <w:b w:val="0"/>
                <w:color w:val="000000"/>
                <w:sz w:val="20"/>
                <w:lang w:eastAsia="en-GB"/>
              </w:rPr>
              <w:t>Transport infrastructure</w:t>
            </w:r>
          </w:p>
        </w:tc>
        <w:tc>
          <w:tcPr>
            <w:tcW w:w="850" w:type="dxa"/>
            <w:tcBorders>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4.91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6.39</w:t>
            </w:r>
          </w:p>
        </w:tc>
        <w:tc>
          <w:tcPr>
            <w:tcW w:w="992"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5.09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5.36</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5.33</w:t>
            </w:r>
          </w:p>
        </w:tc>
        <w:tc>
          <w:tcPr>
            <w:tcW w:w="773"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5.37</w:t>
            </w:r>
          </w:p>
        </w:tc>
        <w:tc>
          <w:tcPr>
            <w:tcW w:w="85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5.45</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5.37</w:t>
            </w:r>
          </w:p>
        </w:tc>
        <w:tc>
          <w:tcPr>
            <w:tcW w:w="914" w:type="dxa"/>
            <w:tcBorders>
              <w:left w:val="single" w:sz="8" w:space="0" w:color="73A5D8" w:themeColor="accent6"/>
            </w:tcBorders>
            <w:noWrap/>
            <w:vAlign w:val="center"/>
            <w:hideMark/>
          </w:tcPr>
          <w:p w:rsidR="00780C92" w:rsidRPr="00780C92" w:rsidRDefault="00780C92" w:rsidP="0002235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0C92">
              <w:rPr>
                <w:rFonts w:cstheme="minorHAnsi"/>
                <w:color w:val="000000"/>
              </w:rPr>
              <w:t>5.02</w:t>
            </w:r>
          </w:p>
        </w:tc>
      </w:tr>
      <w:tr w:rsidR="00A732E8" w:rsidRPr="00EF2185" w:rsidTr="0002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rsidR="00A732E8" w:rsidRPr="00A732E8" w:rsidRDefault="00A732E8" w:rsidP="00A732E8">
            <w:pPr>
              <w:spacing w:after="0"/>
              <w:rPr>
                <w:rFonts w:eastAsia="Times New Roman" w:cstheme="minorHAnsi"/>
                <w:b w:val="0"/>
                <w:i/>
                <w:color w:val="000000"/>
                <w:sz w:val="18"/>
                <w:szCs w:val="20"/>
                <w:lang w:eastAsia="en-GB"/>
              </w:rPr>
            </w:pPr>
            <w:r w:rsidRPr="00A732E8">
              <w:rPr>
                <w:rFonts w:eastAsia="Times New Roman" w:cstheme="minorHAnsi"/>
                <w:b w:val="0"/>
                <w:i/>
                <w:color w:val="000000"/>
                <w:sz w:val="18"/>
                <w:szCs w:val="20"/>
                <w:lang w:eastAsia="en-GB"/>
              </w:rPr>
              <w:t>Maximum unweighted sample bases</w:t>
            </w:r>
          </w:p>
        </w:tc>
        <w:tc>
          <w:tcPr>
            <w:tcW w:w="850" w:type="dxa"/>
            <w:tcBorders>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75</w:t>
            </w:r>
          </w:p>
        </w:tc>
        <w:tc>
          <w:tcPr>
            <w:tcW w:w="709"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18</w:t>
            </w:r>
          </w:p>
        </w:tc>
        <w:tc>
          <w:tcPr>
            <w:tcW w:w="992"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325</w:t>
            </w:r>
          </w:p>
        </w:tc>
        <w:tc>
          <w:tcPr>
            <w:tcW w:w="709"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89</w:t>
            </w:r>
          </w:p>
        </w:tc>
        <w:tc>
          <w:tcPr>
            <w:tcW w:w="645"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133</w:t>
            </w:r>
          </w:p>
        </w:tc>
        <w:tc>
          <w:tcPr>
            <w:tcW w:w="773"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461</w:t>
            </w:r>
          </w:p>
        </w:tc>
        <w:tc>
          <w:tcPr>
            <w:tcW w:w="850"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95</w:t>
            </w:r>
          </w:p>
        </w:tc>
        <w:tc>
          <w:tcPr>
            <w:tcW w:w="645" w:type="dxa"/>
            <w:tcBorders>
              <w:left w:val="single" w:sz="8" w:space="0" w:color="73A5D8" w:themeColor="accent6"/>
              <w:righ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88</w:t>
            </w:r>
          </w:p>
        </w:tc>
        <w:tc>
          <w:tcPr>
            <w:tcW w:w="914" w:type="dxa"/>
            <w:tcBorders>
              <w:left w:val="single" w:sz="8" w:space="0" w:color="73A5D8" w:themeColor="accent6"/>
            </w:tcBorders>
            <w:noWrap/>
            <w:vAlign w:val="center"/>
            <w:hideMark/>
          </w:tcPr>
          <w:p w:rsidR="00A732E8" w:rsidRPr="00A732E8" w:rsidRDefault="00780C92" w:rsidP="00A732E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Pr>
                <w:rFonts w:eastAsia="Times New Roman" w:cstheme="minorHAnsi"/>
                <w:i/>
                <w:color w:val="000000"/>
                <w:sz w:val="18"/>
                <w:szCs w:val="20"/>
                <w:lang w:eastAsia="en-GB"/>
              </w:rPr>
              <w:t>231</w:t>
            </w:r>
          </w:p>
        </w:tc>
      </w:tr>
    </w:tbl>
    <w:p w:rsidR="00A732E8" w:rsidRDefault="006C47F5" w:rsidP="005E11F8">
      <w:pPr>
        <w:pStyle w:val="BodyText"/>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A732E8" w:rsidRDefault="00A732E8" w:rsidP="005E11F8">
      <w:pPr>
        <w:pStyle w:val="BodyText"/>
      </w:pPr>
    </w:p>
    <w:p w:rsidR="007C33D7" w:rsidRDefault="007C33D7" w:rsidP="005E11F8">
      <w:pPr>
        <w:pStyle w:val="BodyText"/>
      </w:pPr>
      <w:r>
        <w:t xml:space="preserve">Cultivating conditions that provide a good place to do business is important to retaining larger employers in the area.  </w:t>
      </w:r>
    </w:p>
    <w:p w:rsidR="00A732E8" w:rsidRDefault="007C33D7" w:rsidP="005E11F8">
      <w:pPr>
        <w:pStyle w:val="BodyText"/>
      </w:pPr>
      <w:r>
        <w:t>Compared with employers with less than 100 employees, 100+ employers are significantly less likely to rate access to customers at 6 or above (6</w:t>
      </w:r>
      <w:r w:rsidR="00DC281E">
        <w:t>7</w:t>
      </w:r>
      <w:r>
        <w:t xml:space="preserve">%, compared with 78%; with </w:t>
      </w:r>
      <w:r w:rsidR="00DC281E">
        <w:t>22</w:t>
      </w:r>
      <w:r>
        <w:t>% rating this aspect at 1 or 2, compared with 3% of smaller businesses).</w:t>
      </w:r>
      <w:r w:rsidR="00D22CA6">
        <w:t xml:space="preserve"> </w:t>
      </w:r>
      <w:r>
        <w:t xml:space="preserve">They are, however, </w:t>
      </w:r>
      <w:r>
        <w:lastRenderedPageBreak/>
        <w:t>significantly more likely than smaller employers to rate the area at 8 or above with regard to being a place where they can grow (</w:t>
      </w:r>
      <w:r w:rsidR="00DC281E">
        <w:t>63</w:t>
      </w:r>
      <w:r>
        <w:t>%, compared with 43%) and with regard to there being support available for businesses to grow (</w:t>
      </w:r>
      <w:r w:rsidR="00E84966">
        <w:t>4</w:t>
      </w:r>
      <w:r w:rsidR="00DC281E">
        <w:t>2</w:t>
      </w:r>
      <w:r w:rsidR="00E84966">
        <w:t>%, compared with 27%).</w:t>
      </w:r>
    </w:p>
    <w:p w:rsidR="005E11F8" w:rsidRDefault="001503EB" w:rsidP="001503EB">
      <w:pPr>
        <w:pStyle w:val="Heading2"/>
      </w:pPr>
      <w:bookmarkStart w:id="21" w:name="_Toc394057512"/>
      <w:r>
        <w:t>Home working policies</w:t>
      </w:r>
      <w:bookmarkEnd w:id="21"/>
    </w:p>
    <w:p w:rsidR="001503EB" w:rsidRDefault="005C142C" w:rsidP="001503EB">
      <w:pPr>
        <w:pStyle w:val="BodyText"/>
      </w:pPr>
      <w:r w:rsidRPr="008F326F">
        <w:t>A quarter of employers (2</w:t>
      </w:r>
      <w:r w:rsidR="008F326F">
        <w:t>5</w:t>
      </w:r>
      <w:r w:rsidRPr="008F326F">
        <w:t>%) report</w:t>
      </w:r>
      <w:r w:rsidR="00100877" w:rsidRPr="008F326F">
        <w:t>s</w:t>
      </w:r>
      <w:r w:rsidRPr="008F326F">
        <w:t xml:space="preserve"> having a home working policy, such as one that allows and encourages</w:t>
      </w:r>
      <w:r>
        <w:t xml:space="preserve"> staff to work at home.</w:t>
      </w:r>
    </w:p>
    <w:p w:rsidR="005C142C" w:rsidRDefault="00257F55" w:rsidP="001503EB">
      <w:pPr>
        <w:pStyle w:val="BodyText"/>
      </w:pPr>
      <w:r>
        <w:t>This proportion is higher than average among employers with fewer than 10 staff (2</w:t>
      </w:r>
      <w:r w:rsidR="008F326F">
        <w:t>7</w:t>
      </w:r>
      <w:r>
        <w:t>%) and highest amongst 100+ employers (34%).</w:t>
      </w:r>
    </w:p>
    <w:p w:rsidR="00100877" w:rsidRDefault="00704452" w:rsidP="001503EB">
      <w:pPr>
        <w:pStyle w:val="BodyText"/>
      </w:pPr>
      <w:r>
        <w:t>The propensity to have a home working policy is highest in the banking, finance and insurance sector (37%).</w:t>
      </w:r>
      <w:r w:rsidR="00100877">
        <w:t xml:space="preserve">  It is also significantly higher than average in headquarters organisations (3</w:t>
      </w:r>
      <w:r w:rsidR="008F326F">
        <w:t>5</w:t>
      </w:r>
      <w:r w:rsidR="00100877">
        <w:t>%).</w:t>
      </w:r>
    </w:p>
    <w:p w:rsidR="00100877" w:rsidRDefault="00100877" w:rsidP="001503EB">
      <w:pPr>
        <w:pStyle w:val="BodyText"/>
      </w:pPr>
    </w:p>
    <w:p w:rsidR="005C142C" w:rsidRPr="001503EB" w:rsidRDefault="005C142C" w:rsidP="001503EB">
      <w:pPr>
        <w:pStyle w:val="BodyText"/>
      </w:pPr>
    </w:p>
    <w:p w:rsidR="005E11F8" w:rsidRPr="005E11F8" w:rsidRDefault="005E11F8" w:rsidP="005E11F8">
      <w:pPr>
        <w:pStyle w:val="BodyText"/>
      </w:pPr>
    </w:p>
    <w:p w:rsidR="0044589D" w:rsidRDefault="005E11F8" w:rsidP="0044589D">
      <w:pPr>
        <w:pStyle w:val="Heading1"/>
      </w:pPr>
      <w:bookmarkStart w:id="22" w:name="_Toc394057513"/>
      <w:r>
        <w:lastRenderedPageBreak/>
        <w:t>Markets and Trading</w:t>
      </w:r>
      <w:bookmarkEnd w:id="22"/>
      <w:r>
        <w:t xml:space="preserve"> </w:t>
      </w:r>
    </w:p>
    <w:p w:rsidR="00651896" w:rsidRDefault="00651896" w:rsidP="00651896"/>
    <w:p w:rsidR="005E11F8" w:rsidRDefault="005E11F8" w:rsidP="005E11F8">
      <w:pPr>
        <w:pStyle w:val="Heading2"/>
      </w:pPr>
      <w:bookmarkStart w:id="23" w:name="_Toc394057514"/>
      <w:r>
        <w:t>Key findings</w:t>
      </w:r>
      <w:bookmarkEnd w:id="23"/>
    </w:p>
    <w:p w:rsidR="005E11F8" w:rsidRDefault="0002235B" w:rsidP="005E11F8">
      <w:pPr>
        <w:pStyle w:val="BodyText"/>
      </w:pPr>
      <w:r>
        <w:t>Three-quarters of employers use suppliers based in Greater Lincolnshire (74%).   Some 23% obtain all their supplies locally.</w:t>
      </w:r>
    </w:p>
    <w:p w:rsidR="0002235B" w:rsidRDefault="0002235B" w:rsidP="005E11F8">
      <w:pPr>
        <w:pStyle w:val="BodyText"/>
      </w:pPr>
      <w:r>
        <w:t>Employers estimate that 57% of supplies, on average, are sourced within Greater Lincolnshire.</w:t>
      </w:r>
    </w:p>
    <w:p w:rsidR="0002235B" w:rsidRDefault="0002235B" w:rsidP="005E11F8">
      <w:pPr>
        <w:pStyle w:val="BodyText"/>
      </w:pPr>
      <w:r>
        <w:t>Where employers do not use local suppliers, it is mainly because the products or services are not available (to their knowledge) in the area.</w:t>
      </w:r>
    </w:p>
    <w:p w:rsidR="0002235B" w:rsidRDefault="0002235B" w:rsidP="005E11F8">
      <w:pPr>
        <w:pStyle w:val="BodyText"/>
      </w:pPr>
      <w:r>
        <w:t>One in eight private sector employers (13%) exports any of their products or services.  This increases to 35% of manufacturers and 30% of employers with 100 or more employees at their site.</w:t>
      </w:r>
    </w:p>
    <w:p w:rsidR="0002235B" w:rsidRDefault="00CE261E" w:rsidP="005E11F8">
      <w:pPr>
        <w:pStyle w:val="BodyText"/>
      </w:pPr>
      <w:r>
        <w:t>More than half the exporters (55%) anticipate an increase in their level of exports in the next 12 months.  This increases to 67% of exporting manufacturers.</w:t>
      </w:r>
    </w:p>
    <w:p w:rsidR="00CE261E" w:rsidRDefault="00CE261E" w:rsidP="005E11F8">
      <w:pPr>
        <w:pStyle w:val="BodyText"/>
      </w:pPr>
      <w:r>
        <w:t xml:space="preserve">The majority of employers anticipating an increase in their exports expect that increase to come from both existing markets and new ones.  </w:t>
      </w:r>
    </w:p>
    <w:p w:rsidR="00251BCF" w:rsidRDefault="00251BCF" w:rsidP="005E11F8">
      <w:pPr>
        <w:pStyle w:val="BodyText"/>
      </w:pPr>
      <w:r>
        <w:t>Just 3% of non-exporting employers plan to begin exporting in the next 12 months.</w:t>
      </w:r>
    </w:p>
    <w:p w:rsidR="00251BCF" w:rsidRDefault="00251BCF" w:rsidP="005E11F8">
      <w:pPr>
        <w:pStyle w:val="BodyText"/>
      </w:pPr>
      <w:r>
        <w:t>Three-quarters of employers (both private and public sector) (75%) have a website, with 30% of all employer</w:t>
      </w:r>
      <w:r w:rsidR="00013137">
        <w:t>s</w:t>
      </w:r>
      <w:r>
        <w:t xml:space="preserve"> using the website for e-commerce as well as advertising.</w:t>
      </w:r>
    </w:p>
    <w:p w:rsidR="00251BCF" w:rsidRDefault="00251BCF" w:rsidP="005E11F8">
      <w:pPr>
        <w:pStyle w:val="BodyText"/>
      </w:pPr>
      <w:r>
        <w:t>Nearly half the employers (47%) include social media (mainly Facebook) in their marketing plans.  This is most likely to be because employers want to raise their company profile, while one in three use social media to engage with and inform their customers.  Similar</w:t>
      </w:r>
      <w:r w:rsidR="0080399C">
        <w:t>ly</w:t>
      </w:r>
      <w:r>
        <w:t xml:space="preserve"> one in three employers with a website use social media to drive traffic towards that website.</w:t>
      </w:r>
    </w:p>
    <w:p w:rsidR="00251BCF" w:rsidRDefault="0080399C" w:rsidP="005E11F8">
      <w:pPr>
        <w:pStyle w:val="BodyText"/>
      </w:pPr>
      <w:r>
        <w:t>Nearly all employers (93%) agree that universal access to broadband is important for the local economy, while the vast majority of employers (86%) agree that having access to superfast broadband is important for their business and two-thirds (67%) agree that access to broadband for home-working is important to their business.</w:t>
      </w:r>
    </w:p>
    <w:p w:rsidR="0080399C" w:rsidRDefault="00E00A33" w:rsidP="005E11F8">
      <w:pPr>
        <w:pStyle w:val="BodyText"/>
      </w:pPr>
      <w:r>
        <w:t>More than three-quarters of employers (77%) agree that reliable and widely available mobile connections for employees while they are out on the road in Greater Lincolnsh</w:t>
      </w:r>
      <w:r w:rsidR="001854CA">
        <w:t>ir</w:t>
      </w:r>
      <w:r>
        <w:t>e are important for their business.</w:t>
      </w:r>
    </w:p>
    <w:p w:rsidR="005E11F8" w:rsidRDefault="005E11F8" w:rsidP="005E11F8">
      <w:pPr>
        <w:pStyle w:val="Heading2"/>
      </w:pPr>
      <w:bookmarkStart w:id="24" w:name="_Toc394057515"/>
      <w:r>
        <w:t>Use of local suppliers</w:t>
      </w:r>
      <w:bookmarkEnd w:id="24"/>
    </w:p>
    <w:p w:rsidR="005E11F8" w:rsidRDefault="00D902C6" w:rsidP="005E11F8">
      <w:pPr>
        <w:pStyle w:val="BodyText"/>
      </w:pPr>
      <w:r>
        <w:t>All employers were asked about their supply chains and where their suppliers are based.</w:t>
      </w:r>
    </w:p>
    <w:p w:rsidR="00D902C6" w:rsidRDefault="0011510F" w:rsidP="005E11F8">
      <w:pPr>
        <w:pStyle w:val="BodyText"/>
      </w:pPr>
      <w:r>
        <w:t xml:space="preserve">Around three-quarters of all employers (74%) use suppliers within Greater Lincolnshire, with </w:t>
      </w:r>
      <w:r w:rsidR="008F326F">
        <w:t>23</w:t>
      </w:r>
      <w:r>
        <w:t>% obtaining all their supplies locally.</w:t>
      </w:r>
    </w:p>
    <w:p w:rsidR="0011510F" w:rsidRDefault="0011510F" w:rsidP="005E11F8">
      <w:pPr>
        <w:pStyle w:val="BodyText"/>
      </w:pPr>
      <w:r>
        <w:t>On average, employers estimate that 57% of supplies are sourced within Greater Lincolnshire.</w:t>
      </w:r>
    </w:p>
    <w:p w:rsidR="0011510F" w:rsidRDefault="0011510F" w:rsidP="005E11F8">
      <w:pPr>
        <w:pStyle w:val="BodyText"/>
      </w:pPr>
      <w:r>
        <w:t>Two-thirds of all employers (6</w:t>
      </w:r>
      <w:r w:rsidR="008F326F">
        <w:t>7</w:t>
      </w:r>
      <w:r>
        <w:t>%) use suppliers elsewhere in the UK, with 11% obtaining all their supplies from further afield but still within the UK.</w:t>
      </w:r>
    </w:p>
    <w:p w:rsidR="0011510F" w:rsidRDefault="0011510F" w:rsidP="005E11F8">
      <w:pPr>
        <w:pStyle w:val="BodyText"/>
      </w:pPr>
      <w:r>
        <w:lastRenderedPageBreak/>
        <w:t>On average, employers estimate that 51% of supplies are sourced outside of Greater Lincolnshire but still within the UK.</w:t>
      </w:r>
    </w:p>
    <w:p w:rsidR="003573CA" w:rsidRDefault="00266E4C" w:rsidP="005E11F8">
      <w:pPr>
        <w:pStyle w:val="BodyText"/>
      </w:pPr>
      <w:r>
        <w:t xml:space="preserve">One in six employers (18%) import supplies, with the majority of those </w:t>
      </w:r>
      <w:r w:rsidR="00E4218A">
        <w:t>importing no more than a quarter of supplies.</w:t>
      </w:r>
      <w:r w:rsidR="003573CA">
        <w:t xml:space="preserve">  </w:t>
      </w:r>
    </w:p>
    <w:p w:rsidR="00266E4C" w:rsidRDefault="003573CA" w:rsidP="005E11F8">
      <w:pPr>
        <w:pStyle w:val="BodyText"/>
      </w:pPr>
      <w:r>
        <w:t>On average, employers estimate that 16% of supplies are imported.</w:t>
      </w:r>
    </w:p>
    <w:p w:rsidR="00671EA1" w:rsidRDefault="00671EA1" w:rsidP="005E11F8">
      <w:pPr>
        <w:pStyle w:val="BodyText"/>
      </w:pPr>
      <w:r>
        <w:t>By sector, there are</w:t>
      </w:r>
      <w:r w:rsidR="00F24B9D">
        <w:t xml:space="preserve"> particularly</w:t>
      </w:r>
      <w:r>
        <w:t xml:space="preserve"> high levels of reliance on local suppliers amon</w:t>
      </w:r>
      <w:r w:rsidR="007C140E">
        <w:t>g employers within public administration</w:t>
      </w:r>
      <w:r>
        <w:t>/education/health and agriculture/fishing.</w:t>
      </w:r>
      <w:r w:rsidR="00F24B9D">
        <w:t xml:space="preserve">  This is also true, but to a lesser extent </w:t>
      </w:r>
      <w:r w:rsidR="007C140E">
        <w:t>in the construction, energy/</w:t>
      </w:r>
      <w:r w:rsidR="00F24B9D">
        <w:t>water, transport</w:t>
      </w:r>
      <w:r w:rsidR="007C140E">
        <w:t>/</w:t>
      </w:r>
      <w:r w:rsidR="00F24B9D">
        <w:t xml:space="preserve">communications and other services. </w:t>
      </w:r>
      <w:r>
        <w:t xml:space="preserve"> </w:t>
      </w:r>
    </w:p>
    <w:p w:rsidR="00F24B9D" w:rsidRDefault="00F24B9D" w:rsidP="005E11F8">
      <w:pPr>
        <w:pStyle w:val="BodyText"/>
      </w:pPr>
      <w:r>
        <w:t>Manufacturers obtain the majority of their supplies from elsewhere in the UK.</w:t>
      </w:r>
    </w:p>
    <w:p w:rsidR="00F24B9D" w:rsidRDefault="00F24B9D" w:rsidP="005E11F8">
      <w:pPr>
        <w:pStyle w:val="BodyText"/>
      </w:pPr>
      <w:r>
        <w:t xml:space="preserve">Employers within the distribution/hotels/restaurants sector obtain, on average, a quarter of their supplies from suppliers based outside of the UK.  Otherwise, they are equally likely to use UK-based suppliers within and outside Greater Lincolnshire.   </w:t>
      </w:r>
    </w:p>
    <w:p w:rsidR="001225EC" w:rsidRDefault="001225EC" w:rsidP="001225EC">
      <w:pPr>
        <w:pStyle w:val="Caption"/>
      </w:pPr>
      <w:r>
        <w:t xml:space="preserve">Figure 4.1:   Mean percentage of supplies sourced within Greater Lincolnshire, elsewhere in the UK and imported (all </w:t>
      </w:r>
      <w:r w:rsidR="00E3671E">
        <w:t>employers</w:t>
      </w:r>
      <w:r>
        <w:t xml:space="preserve"> – where provided a response) </w:t>
      </w:r>
    </w:p>
    <w:p w:rsidR="001225EC" w:rsidRDefault="001225EC" w:rsidP="001225EC">
      <w:pPr>
        <w:pStyle w:val="Caption"/>
      </w:pPr>
      <w:r w:rsidRPr="001225EC">
        <w:rPr>
          <w:noProof/>
          <w:lang w:eastAsia="en-GB"/>
        </w:rPr>
        <w:drawing>
          <wp:inline distT="0" distB="0" distL="0" distR="0">
            <wp:extent cx="6038850" cy="4629150"/>
            <wp:effectExtent l="0" t="0" r="0"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25EC" w:rsidRDefault="001225EC" w:rsidP="001225EC">
      <w:pPr>
        <w:pStyle w:val="BodyText"/>
        <w:rPr>
          <w:rFonts w:cs="Arial"/>
          <w:sz w:val="18"/>
        </w:rPr>
      </w:pPr>
      <w:r>
        <w:rPr>
          <w:rFonts w:cs="Arial"/>
          <w:sz w:val="18"/>
        </w:rPr>
        <w:t>Maximum unweighted sample bases in parentheses</w:t>
      </w:r>
    </w:p>
    <w:p w:rsidR="001225EC" w:rsidRPr="0073300F" w:rsidRDefault="001225EC" w:rsidP="001225EC">
      <w:pPr>
        <w:pStyle w:val="BodyText"/>
        <w:rPr>
          <w:sz w:val="18"/>
        </w:rPr>
      </w:pPr>
      <w:r>
        <w:rPr>
          <w:rFonts w:cs="Arial"/>
          <w:sz w:val="18"/>
        </w:rPr>
        <w:t>QF8</w:t>
      </w:r>
      <w:r w:rsidRPr="0073300F">
        <w:rPr>
          <w:rFonts w:cs="Arial"/>
          <w:sz w:val="18"/>
        </w:rPr>
        <w:t xml:space="preserve">.  </w:t>
      </w:r>
      <w:r>
        <w:rPr>
          <w:rFonts w:cs="Arial"/>
          <w:sz w:val="18"/>
        </w:rPr>
        <w:t>Please tell us about your supply chain.  What percentage of your supply chain is....</w:t>
      </w:r>
      <w:r w:rsidRPr="0073300F">
        <w:rPr>
          <w:rFonts w:cs="Arial"/>
          <w:sz w:val="18"/>
        </w:rPr>
        <w:t>?</w:t>
      </w:r>
    </w:p>
    <w:p w:rsidR="00D902C6" w:rsidRDefault="00D902C6" w:rsidP="005E11F8">
      <w:pPr>
        <w:pStyle w:val="BodyText"/>
      </w:pPr>
    </w:p>
    <w:p w:rsidR="005E11F8" w:rsidRDefault="008D21C5" w:rsidP="005E11F8">
      <w:pPr>
        <w:pStyle w:val="BodyText"/>
      </w:pPr>
      <w:r>
        <w:lastRenderedPageBreak/>
        <w:t>The 26% of employers that do not source any supplies from within Greater Lincolnshire, were asked what prevented them from doing so.</w:t>
      </w:r>
      <w:r w:rsidR="00F20CD7">
        <w:t xml:space="preserve">  The main reason, cited by two-thirds of employers not using local suppliers (69%) is that supplies simply are not available (to their knowledge) locally.</w:t>
      </w:r>
      <w:r w:rsidR="00013F1C">
        <w:t xml:space="preserve">  This reason is significantly more likely than average to be cited by employers in South Kesteven (77%) and manufacturers (8</w:t>
      </w:r>
      <w:r w:rsidR="008F326F">
        <w:t>3</w:t>
      </w:r>
      <w:r w:rsidR="00013F1C">
        <w:t>%)</w:t>
      </w:r>
      <w:r w:rsidR="00F97890">
        <w:t>, particularly those in the priority sector, manufacturing/engineering (8</w:t>
      </w:r>
      <w:r w:rsidR="008F326F">
        <w:t>8</w:t>
      </w:r>
      <w:r w:rsidR="00F97890">
        <w:t>%)</w:t>
      </w:r>
      <w:r w:rsidR="00013F1C">
        <w:t xml:space="preserve">. </w:t>
      </w:r>
    </w:p>
    <w:p w:rsidR="00013F1C" w:rsidRDefault="00013F1C" w:rsidP="005E11F8">
      <w:pPr>
        <w:pStyle w:val="BodyText"/>
      </w:pPr>
      <w:r>
        <w:t>The second most frequently mentioned reason is the high</w:t>
      </w:r>
      <w:r w:rsidR="00F97890">
        <w:t xml:space="preserve"> cost of supplies locally (14%), which is significantly more likely to be mentioned by employers in the priority sector, visitor economy</w:t>
      </w:r>
      <w:r w:rsidR="008F326F">
        <w:t xml:space="preserve"> (27%)</w:t>
      </w:r>
      <w:r w:rsidR="00F97890">
        <w:t>.</w:t>
      </w:r>
    </w:p>
    <w:p w:rsidR="00013F1C" w:rsidRDefault="00ED20D2" w:rsidP="005E11F8">
      <w:pPr>
        <w:pStyle w:val="BodyText"/>
      </w:pPr>
      <w:r>
        <w:t>One in ten employers that do not source supplies locally (10%), cite company policy/head office policy.  This increases to 2</w:t>
      </w:r>
      <w:r w:rsidR="00B2413A">
        <w:t>8</w:t>
      </w:r>
      <w:r>
        <w:t>% of branches/subsidiaries.</w:t>
      </w:r>
    </w:p>
    <w:p w:rsidR="00B96C05" w:rsidRDefault="00B96C05" w:rsidP="005E11F8">
      <w:pPr>
        <w:pStyle w:val="BodyText"/>
      </w:pPr>
      <w:r>
        <w:t>Other reasons include</w:t>
      </w:r>
      <w:r w:rsidR="008F3514">
        <w:t>:  T</w:t>
      </w:r>
      <w:r>
        <w:t>he volume required cannot be sourced locally (5%), poor quality of local supply (3%), local supply is not flexible or responsive to change (2%) and too long a lead time when obtaining supplies locally (1%).</w:t>
      </w:r>
    </w:p>
    <w:p w:rsidR="005E11F8" w:rsidRDefault="005E11F8" w:rsidP="005E11F8">
      <w:pPr>
        <w:pStyle w:val="Heading2"/>
      </w:pPr>
      <w:bookmarkStart w:id="25" w:name="_Toc394057516"/>
      <w:r>
        <w:t>Exporting</w:t>
      </w:r>
      <w:bookmarkEnd w:id="25"/>
    </w:p>
    <w:p w:rsidR="00F97890" w:rsidRPr="00561FAB" w:rsidRDefault="008F3514" w:rsidP="005E11F8">
      <w:pPr>
        <w:pStyle w:val="BodyText"/>
      </w:pPr>
      <w:r>
        <w:t>One in eight employers operating within the private sector (1</w:t>
      </w:r>
      <w:r w:rsidR="00384978">
        <w:t>3</w:t>
      </w:r>
      <w:r>
        <w:t xml:space="preserve">%) exports any of their products or services.  This proportion increases to </w:t>
      </w:r>
      <w:r w:rsidR="00561FAB" w:rsidRPr="00561FAB">
        <w:t>30</w:t>
      </w:r>
      <w:r w:rsidRPr="00561FAB">
        <w:t>% of employers with 100 or more staff and is significantly higher than average in manufacturing (3</w:t>
      </w:r>
      <w:r w:rsidR="007A08CA" w:rsidRPr="00561FAB">
        <w:t>5</w:t>
      </w:r>
      <w:r w:rsidRPr="00561FAB">
        <w:t>%) – 3</w:t>
      </w:r>
      <w:r w:rsidR="007A08CA" w:rsidRPr="00561FAB">
        <w:t>0</w:t>
      </w:r>
      <w:r w:rsidRPr="00561FAB">
        <w:t>% in the priority sector of manufacturing/engineering.</w:t>
      </w:r>
    </w:p>
    <w:p w:rsidR="008F3514" w:rsidRDefault="008F3514" w:rsidP="005E11F8">
      <w:pPr>
        <w:pStyle w:val="BodyText"/>
      </w:pPr>
      <w:r w:rsidRPr="00561FAB">
        <w:t>One in five production and construction businesses export, compared with one in ten service businesses (21%, compared with 1</w:t>
      </w:r>
      <w:r w:rsidR="00561FAB">
        <w:t>1</w:t>
      </w:r>
      <w:r w:rsidRPr="00561FAB">
        <w:t>%).</w:t>
      </w:r>
    </w:p>
    <w:p w:rsidR="008F3514" w:rsidRDefault="008F3514" w:rsidP="005E11F8">
      <w:pPr>
        <w:pStyle w:val="BodyText"/>
      </w:pPr>
      <w:r>
        <w:t xml:space="preserve">Compared with SMEs across the UK, Greater Lincolnshire employers are less likely to export.  </w:t>
      </w:r>
      <w:r w:rsidR="00807B9C">
        <w:t xml:space="preserve"> The Small Business Survey 2012 reported that 19% of SME employers (2-249 employees) across the UK exported.  Similarly to</w:t>
      </w:r>
      <w:r w:rsidR="00633CA0">
        <w:t xml:space="preserve"> Greater</w:t>
      </w:r>
      <w:r w:rsidR="00807B9C">
        <w:t xml:space="preserve"> Lincolnshire, this increased </w:t>
      </w:r>
      <w:r w:rsidR="005E7F4F">
        <w:t>among</w:t>
      </w:r>
      <w:r w:rsidR="00807B9C">
        <w:t xml:space="preserve"> manufacturing SMEs</w:t>
      </w:r>
      <w:r w:rsidR="005E7F4F">
        <w:t xml:space="preserve"> to 41%</w:t>
      </w:r>
      <w:r w:rsidR="00807B9C">
        <w:t xml:space="preserve">.  </w:t>
      </w:r>
      <w:r w:rsidR="00633CA0">
        <w:t>The SBS 2012 data includes major urban conglomerations in the South East, Midlands and North West, where levels of exports are higher than average.  Thus the comparison is not altogether a fair one.   Greater Lincolnshire is likely to be more on a par with areas with a higher degree of rurality, such as Wales, where 14% of SMEs reported exporting products and services in SBS 2012.</w:t>
      </w:r>
    </w:p>
    <w:p w:rsidR="006B6285" w:rsidRDefault="006B6285" w:rsidP="005E11F8">
      <w:pPr>
        <w:pStyle w:val="BodyText"/>
      </w:pPr>
      <w:r>
        <w:t>Over the next 12 months, around half of employers that currently export (5</w:t>
      </w:r>
      <w:r w:rsidR="00561FAB">
        <w:t>5</w:t>
      </w:r>
      <w:r>
        <w:t xml:space="preserve">%) anticipate an increase in their level of exports.  This proportion increases to </w:t>
      </w:r>
      <w:r w:rsidR="00561FAB">
        <w:t>70</w:t>
      </w:r>
      <w:r>
        <w:t>% of employer with 25 or more staff and is higher than average in manufacturing (6</w:t>
      </w:r>
      <w:r w:rsidR="007A08CA">
        <w:t>7</w:t>
      </w:r>
      <w:r>
        <w:t>%) and transport/communications (6</w:t>
      </w:r>
      <w:r w:rsidR="00561FAB">
        <w:t>6</w:t>
      </w:r>
      <w:r>
        <w:t>%).  It is significantly higher than average in the priority sector of manufacturing/</w:t>
      </w:r>
      <w:r w:rsidR="007A08CA">
        <w:t xml:space="preserve"> </w:t>
      </w:r>
      <w:r>
        <w:t>engineering (</w:t>
      </w:r>
      <w:r w:rsidR="007A08CA">
        <w:t>71</w:t>
      </w:r>
      <w:r>
        <w:t>%).</w:t>
      </w:r>
    </w:p>
    <w:p w:rsidR="006B6285" w:rsidRDefault="006B6285" w:rsidP="005E11F8">
      <w:pPr>
        <w:pStyle w:val="BodyText"/>
      </w:pPr>
      <w:r>
        <w:t xml:space="preserve">By contrast, just </w:t>
      </w:r>
      <w:r w:rsidR="00561FAB">
        <w:t>4</w:t>
      </w:r>
      <w:r>
        <w:t>% of those that export anticipate a decrease in their level of exports, while a third of all exporters (3</w:t>
      </w:r>
      <w:r w:rsidR="00561FAB">
        <w:t>2</w:t>
      </w:r>
      <w:r>
        <w:t xml:space="preserve">%) do not expect any change.  </w:t>
      </w:r>
    </w:p>
    <w:p w:rsidR="006B6285" w:rsidRDefault="006B6285" w:rsidP="005E11F8">
      <w:pPr>
        <w:pStyle w:val="BodyText"/>
      </w:pPr>
      <w:r>
        <w:t>In terms of how employers plan to increase their level of exports, there is likely to be a fairly even blend of increasing the level of exports to existing territories and exploiting new ones.  Two-thirds of employers planning to increase their level of exports intend to do both (</w:t>
      </w:r>
      <w:r w:rsidR="00561FAB">
        <w:t>71</w:t>
      </w:r>
      <w:r>
        <w:t>%), while 1</w:t>
      </w:r>
      <w:r w:rsidR="00561FAB">
        <w:t>4</w:t>
      </w:r>
      <w:r>
        <w:t>% are limiting their plans to existing territories and 1</w:t>
      </w:r>
      <w:r w:rsidR="00561FAB">
        <w:t>0</w:t>
      </w:r>
      <w:r>
        <w:t>% intend to branch out.</w:t>
      </w:r>
    </w:p>
    <w:p w:rsidR="006B6285" w:rsidRDefault="0027467F" w:rsidP="0027467F">
      <w:pPr>
        <w:pStyle w:val="Heading3"/>
      </w:pPr>
      <w:bookmarkStart w:id="26" w:name="_Toc394057517"/>
      <w:r>
        <w:lastRenderedPageBreak/>
        <w:t>Plans to export</w:t>
      </w:r>
      <w:bookmarkEnd w:id="26"/>
    </w:p>
    <w:p w:rsidR="0027467F" w:rsidRPr="0027467F" w:rsidRDefault="0027467F" w:rsidP="0027467F">
      <w:pPr>
        <w:pStyle w:val="BodyText"/>
      </w:pPr>
      <w:r>
        <w:t xml:space="preserve">Just 3% of </w:t>
      </w:r>
      <w:r w:rsidR="009F7624">
        <w:t xml:space="preserve">private sector </w:t>
      </w:r>
      <w:r>
        <w:t>employers that do not currently export products or services or licence them overseas plan to start doing so in the next 12 months.  This is consistent with SBS 2012 (3%, 1% in Wales, which is similar in its industrial profile to Greater Lincolnshire).</w:t>
      </w:r>
    </w:p>
    <w:p w:rsidR="00633CA0" w:rsidRDefault="00633CA0" w:rsidP="005E11F8">
      <w:pPr>
        <w:pStyle w:val="BodyText"/>
      </w:pPr>
    </w:p>
    <w:p w:rsidR="005E11F8" w:rsidRDefault="005E11F8" w:rsidP="005E11F8">
      <w:pPr>
        <w:pStyle w:val="Heading2"/>
      </w:pPr>
      <w:bookmarkStart w:id="27" w:name="_Toc394057518"/>
      <w:r>
        <w:t>The internet as a marketing tool</w:t>
      </w:r>
      <w:bookmarkEnd w:id="27"/>
    </w:p>
    <w:p w:rsidR="00064650" w:rsidRDefault="00064650" w:rsidP="00064650">
      <w:pPr>
        <w:pStyle w:val="Heading3"/>
      </w:pPr>
      <w:bookmarkStart w:id="28" w:name="_Toc394057519"/>
      <w:r>
        <w:t>Websites</w:t>
      </w:r>
      <w:bookmarkEnd w:id="28"/>
    </w:p>
    <w:p w:rsidR="00E61B90" w:rsidRDefault="009F7624" w:rsidP="009F7624">
      <w:pPr>
        <w:pStyle w:val="BodyText"/>
      </w:pPr>
      <w:r>
        <w:t xml:space="preserve">The advent of the internet has enabled businesses to promote their goods and services across a </w:t>
      </w:r>
      <w:r w:rsidR="00E61B90">
        <w:t>vastly wider geographic area.  A business with a website is able to advertise across the UK and overseas at a low cost and consequently overcome the limitations of its local market place to a great extent.</w:t>
      </w:r>
    </w:p>
    <w:p w:rsidR="009F7624" w:rsidRDefault="00F67DE4" w:rsidP="009F7624">
      <w:pPr>
        <w:pStyle w:val="BodyText"/>
      </w:pPr>
      <w:r>
        <w:t>Three-quarters of employers (public and private sector) (75%) have a website; with 30% of all employers using it for e-commerce as well as advertising.</w:t>
      </w:r>
      <w:r w:rsidR="00E61B90">
        <w:t xml:space="preserve"> </w:t>
      </w:r>
    </w:p>
    <w:p w:rsidR="00F67DE4" w:rsidRDefault="00F67DE4" w:rsidP="009F7624">
      <w:pPr>
        <w:pStyle w:val="BodyText"/>
      </w:pPr>
      <w:r>
        <w:t>Having a website increases with business size to 92% of 25+ employers</w:t>
      </w:r>
      <w:r w:rsidR="00045BC7">
        <w:t>.</w:t>
      </w:r>
    </w:p>
    <w:p w:rsidR="00045BC7" w:rsidRDefault="00045BC7" w:rsidP="009F7624">
      <w:pPr>
        <w:pStyle w:val="BodyText"/>
      </w:pPr>
      <w:r>
        <w:t xml:space="preserve">Use of a website for e-commerce is significantly higher than average within the distribution/hotels and restaurants sector (39%), while significantly lower than average in construction (15%) and agriculture (12%).  </w:t>
      </w:r>
      <w:r w:rsidR="00387246">
        <w:t>Use of websites for e-commerce is</w:t>
      </w:r>
      <w:r>
        <w:t xml:space="preserve"> a little higher in the priority sector of </w:t>
      </w:r>
      <w:r w:rsidR="007A08CA">
        <w:t>a</w:t>
      </w:r>
      <w:r>
        <w:t>gri-food than in agriculture (2</w:t>
      </w:r>
      <w:r w:rsidR="007A08CA">
        <w:t>3</w:t>
      </w:r>
      <w:r>
        <w:t>%), but still lower than average.</w:t>
      </w:r>
    </w:p>
    <w:p w:rsidR="00FD344C" w:rsidRDefault="00FD344C" w:rsidP="00FD344C">
      <w:pPr>
        <w:pStyle w:val="Caption"/>
      </w:pPr>
      <w:r>
        <w:lastRenderedPageBreak/>
        <w:t xml:space="preserve">Figure 4.2:   Proportion of employers that have a website and use it for e-commerce, by sector, including priority and emerging sectors (all </w:t>
      </w:r>
      <w:r w:rsidR="00E3671E">
        <w:t>employers</w:t>
      </w:r>
      <w:r>
        <w:t xml:space="preserve">) </w:t>
      </w:r>
    </w:p>
    <w:p w:rsidR="00FD344C" w:rsidRDefault="008A1625" w:rsidP="00FD344C">
      <w:pPr>
        <w:pStyle w:val="Caption"/>
      </w:pPr>
      <w:r w:rsidRPr="008A1625">
        <w:rPr>
          <w:noProof/>
          <w:lang w:eastAsia="en-GB"/>
        </w:rPr>
        <w:drawing>
          <wp:inline distT="0" distB="0" distL="0" distR="0">
            <wp:extent cx="5676900" cy="54864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344C" w:rsidRDefault="00FD344C" w:rsidP="00FD344C">
      <w:pPr>
        <w:pStyle w:val="BodyText"/>
        <w:rPr>
          <w:rFonts w:cs="Arial"/>
          <w:sz w:val="18"/>
        </w:rPr>
      </w:pPr>
      <w:r>
        <w:rPr>
          <w:rFonts w:cs="Arial"/>
          <w:sz w:val="18"/>
        </w:rPr>
        <w:t>Unweighted sample bases in parentheses</w:t>
      </w:r>
      <w:r w:rsidR="00372F30">
        <w:rPr>
          <w:rFonts w:cs="Arial"/>
          <w:sz w:val="18"/>
        </w:rPr>
        <w:t xml:space="preserve">         *caution:  small sample base</w:t>
      </w:r>
    </w:p>
    <w:p w:rsidR="00FD344C" w:rsidRPr="0073300F" w:rsidRDefault="00FD344C" w:rsidP="00FD344C">
      <w:pPr>
        <w:pStyle w:val="BodyText"/>
        <w:rPr>
          <w:sz w:val="18"/>
        </w:rPr>
      </w:pPr>
      <w:r>
        <w:rPr>
          <w:rFonts w:cs="Arial"/>
          <w:sz w:val="18"/>
        </w:rPr>
        <w:t>QF11</w:t>
      </w:r>
      <w:r w:rsidRPr="0073300F">
        <w:rPr>
          <w:rFonts w:cs="Arial"/>
          <w:sz w:val="18"/>
        </w:rPr>
        <w:t xml:space="preserve">.  </w:t>
      </w:r>
      <w:r>
        <w:rPr>
          <w:rFonts w:cs="Arial"/>
          <w:sz w:val="18"/>
        </w:rPr>
        <w:t>Do you have a website?  Is this used for e-commerce, i.e. to directly sell goods or services, or is it</w:t>
      </w:r>
      <w:r w:rsidR="00DE1C5F">
        <w:rPr>
          <w:rFonts w:cs="Arial"/>
          <w:sz w:val="18"/>
        </w:rPr>
        <w:t xml:space="preserve"> used for advertising/promotion </w:t>
      </w:r>
      <w:r>
        <w:rPr>
          <w:rFonts w:cs="Arial"/>
          <w:sz w:val="18"/>
        </w:rPr>
        <w:t>only</w:t>
      </w:r>
    </w:p>
    <w:p w:rsidR="00387246" w:rsidRDefault="00610A5B" w:rsidP="009F7624">
      <w:pPr>
        <w:pStyle w:val="BodyText"/>
      </w:pPr>
      <w:r>
        <w:t xml:space="preserve">The use of websites for widening the net in terms of the geographical location of customers is highlighted by the extent to which it is used by exporters.  Nearly half of all exporters (47%) have a website for e-commerce, with 89% overall having a website at all, compared with </w:t>
      </w:r>
      <w:r w:rsidR="007A08CA">
        <w:t>27</w:t>
      </w:r>
      <w:r>
        <w:t>% and 73% of non-exporters respectively.</w:t>
      </w:r>
    </w:p>
    <w:p w:rsidR="00064650" w:rsidRDefault="002F4FFA" w:rsidP="009F7624">
      <w:pPr>
        <w:pStyle w:val="BodyText"/>
      </w:pPr>
      <w:r>
        <w:t>Employers based in Lincoln are significantly more likely to both have a website at all and use it for e-commerce (84% and 40% respectively).  This reflects a slightly higher proportion of distribution/hotels and restaurant and banking/finance/insurance businesses in the district but it is likely that their central, urban location is a factor here in terms of take up of the internet as a marketing tool.</w:t>
      </w:r>
    </w:p>
    <w:p w:rsidR="00FD344C" w:rsidRDefault="00064650" w:rsidP="00064650">
      <w:pPr>
        <w:pStyle w:val="Heading3"/>
      </w:pPr>
      <w:bookmarkStart w:id="29" w:name="_Toc394057520"/>
      <w:r>
        <w:lastRenderedPageBreak/>
        <w:t>Social media</w:t>
      </w:r>
      <w:bookmarkEnd w:id="29"/>
      <w:r w:rsidR="002F4FFA">
        <w:t xml:space="preserve"> </w:t>
      </w:r>
    </w:p>
    <w:p w:rsidR="003D0678" w:rsidRDefault="00064650" w:rsidP="009F7624">
      <w:pPr>
        <w:pStyle w:val="BodyText"/>
      </w:pPr>
      <w:r>
        <w:t xml:space="preserve">Nearly half of all employers (47%) include social media in their marketing plan.  </w:t>
      </w:r>
    </w:p>
    <w:p w:rsidR="00610A5B" w:rsidRDefault="00064650" w:rsidP="009F7624">
      <w:pPr>
        <w:pStyle w:val="BodyText"/>
      </w:pPr>
      <w:r>
        <w:t>This proportion is significantly higher amongst employers based in the district of Lincoln (62%) than elsewhere</w:t>
      </w:r>
      <w:r w:rsidR="003D0678">
        <w:t xml:space="preserve"> and higher than average in the sectors of distribution/hotels and restaurants (5</w:t>
      </w:r>
      <w:r w:rsidR="007A08CA">
        <w:t>5</w:t>
      </w:r>
      <w:r w:rsidR="003D0678">
        <w:t>%), banking/finance/insurance (54%) and in the priority sector, visitor economy (6</w:t>
      </w:r>
      <w:r w:rsidR="007A08CA">
        <w:t>1</w:t>
      </w:r>
      <w:r w:rsidR="003D0678">
        <w:t>%).</w:t>
      </w:r>
    </w:p>
    <w:p w:rsidR="003D0678" w:rsidRDefault="00F023F1" w:rsidP="009F7624">
      <w:pPr>
        <w:pStyle w:val="BodyText"/>
      </w:pPr>
      <w:r>
        <w:t xml:space="preserve">The three main reasons to use social media in their marketing plan were to raise the company profile (42% of all employers); </w:t>
      </w:r>
      <w:r w:rsidR="007F38E8">
        <w:t xml:space="preserve">to </w:t>
      </w:r>
      <w:r>
        <w:t xml:space="preserve">engage with and inform their customers (33%) and </w:t>
      </w:r>
      <w:r w:rsidR="007F38E8">
        <w:t xml:space="preserve">to </w:t>
      </w:r>
      <w:r>
        <w:t>drive traffic to their website (2</w:t>
      </w:r>
      <w:r w:rsidR="007A08CA">
        <w:t>4</w:t>
      </w:r>
      <w:r>
        <w:t>%).</w:t>
      </w:r>
    </w:p>
    <w:p w:rsidR="007F38E8" w:rsidRDefault="007F38E8" w:rsidP="009F7624">
      <w:pPr>
        <w:pStyle w:val="BodyText"/>
      </w:pPr>
      <w:r>
        <w:t>Younger businesses (established less than 5 years) are more likely than longer established businesses to use social media at all (</w:t>
      </w:r>
      <w:r w:rsidR="007A08CA">
        <w:t>65</w:t>
      </w:r>
      <w:r>
        <w:t xml:space="preserve">%, compared with 44%) and to cite any of the reasons for doing so.  </w:t>
      </w:r>
    </w:p>
    <w:p w:rsidR="007F38E8" w:rsidRDefault="007F38E8" w:rsidP="007F38E8">
      <w:pPr>
        <w:pStyle w:val="ListParagraph"/>
        <w:tabs>
          <w:tab w:val="left" w:pos="4326"/>
        </w:tabs>
        <w:ind w:left="426" w:hanging="426"/>
      </w:pPr>
      <w:r>
        <w:t xml:space="preserve">Raising the company profile:  58% of young businesses; </w:t>
      </w:r>
      <w:r w:rsidR="007A08CA">
        <w:t>39</w:t>
      </w:r>
      <w:r>
        <w:t>% of more established businesses</w:t>
      </w:r>
    </w:p>
    <w:p w:rsidR="007F38E8" w:rsidRDefault="007F38E8" w:rsidP="007F38E8">
      <w:pPr>
        <w:pStyle w:val="ListParagraph"/>
        <w:ind w:left="426" w:hanging="426"/>
      </w:pPr>
      <w:r>
        <w:t xml:space="preserve">Driving traffic to the website:   </w:t>
      </w:r>
      <w:r w:rsidR="007A08CA">
        <w:t>31</w:t>
      </w:r>
      <w:r>
        <w:t xml:space="preserve">% of young businesses; </w:t>
      </w:r>
      <w:r w:rsidR="007A08CA">
        <w:t>23</w:t>
      </w:r>
      <w:r>
        <w:t>% of more established businesses</w:t>
      </w:r>
    </w:p>
    <w:p w:rsidR="007F38E8" w:rsidRDefault="007F38E8" w:rsidP="007F38E8">
      <w:pPr>
        <w:pStyle w:val="ListParagraph"/>
        <w:ind w:left="426" w:hanging="426"/>
      </w:pPr>
      <w:r>
        <w:t>Engaging with and informing customers:   45% of young businesses; 31% of more established businesses</w:t>
      </w:r>
    </w:p>
    <w:p w:rsidR="007F38E8" w:rsidRDefault="007F38E8" w:rsidP="009F7624">
      <w:pPr>
        <w:pStyle w:val="BodyText"/>
      </w:pPr>
      <w:r>
        <w:t xml:space="preserve">A third of employers with a website use social media to drive traffic to it (32%) and this figure increases to </w:t>
      </w:r>
      <w:r w:rsidR="007A08CA">
        <w:t>39</w:t>
      </w:r>
      <w:r>
        <w:t>% of those that use the website for e-commerce.</w:t>
      </w:r>
    </w:p>
    <w:p w:rsidR="00F023F1" w:rsidRDefault="00E15172" w:rsidP="009F7624">
      <w:pPr>
        <w:pStyle w:val="BodyText"/>
      </w:pPr>
      <w:r>
        <w:t>Facebook is the most frequently used social media platform (86% of those using social media as part of their marketing plan), followed by Twitter (5</w:t>
      </w:r>
      <w:r w:rsidR="007A08CA">
        <w:t>3</w:t>
      </w:r>
      <w:r>
        <w:t>%).</w:t>
      </w:r>
    </w:p>
    <w:p w:rsidR="00E15172" w:rsidRDefault="00E15172" w:rsidP="009F7624">
      <w:pPr>
        <w:pStyle w:val="BodyText"/>
      </w:pPr>
      <w:r>
        <w:t>The banking/finance/insurance sector is significantly more likely to use Twitter (63%) than average and also significantly more likely to use LinkedIn (43%, compared with 18% of all employers using social media).</w:t>
      </w:r>
    </w:p>
    <w:p w:rsidR="00E15172" w:rsidRDefault="00E15172" w:rsidP="009F7624">
      <w:pPr>
        <w:pStyle w:val="BodyText"/>
      </w:pPr>
      <w:r>
        <w:t>YouTube and Instagram are used by one in twenty of those using social media in their marketing plans (6% and 5% respectively).</w:t>
      </w:r>
    </w:p>
    <w:p w:rsidR="008725D5" w:rsidRDefault="008725D5" w:rsidP="008725D5">
      <w:pPr>
        <w:pStyle w:val="Caption"/>
      </w:pPr>
      <w:r>
        <w:lastRenderedPageBreak/>
        <w:t xml:space="preserve">Figure 4.3:   Use of social media – prompted, multiple response (rebased on all </w:t>
      </w:r>
      <w:r w:rsidR="00E3671E">
        <w:t>employers</w:t>
      </w:r>
      <w:r>
        <w:t xml:space="preserve">) </w:t>
      </w:r>
    </w:p>
    <w:p w:rsidR="008725D5" w:rsidRDefault="008725D5" w:rsidP="008725D5">
      <w:pPr>
        <w:pStyle w:val="Caption"/>
      </w:pPr>
      <w:r w:rsidRPr="008725D5">
        <w:rPr>
          <w:noProof/>
          <w:lang w:eastAsia="en-GB"/>
        </w:rPr>
        <w:drawing>
          <wp:inline distT="0" distB="0" distL="0" distR="0">
            <wp:extent cx="5715000" cy="3419475"/>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25D5" w:rsidRDefault="008725D5" w:rsidP="008725D5">
      <w:pPr>
        <w:pStyle w:val="BodyText"/>
        <w:rPr>
          <w:rFonts w:cs="Arial"/>
          <w:sz w:val="18"/>
        </w:rPr>
      </w:pPr>
      <w:r>
        <w:rPr>
          <w:rFonts w:cs="Arial"/>
          <w:sz w:val="18"/>
        </w:rPr>
        <w:t>Unweighted sample base = 1</w:t>
      </w:r>
      <w:r w:rsidR="00011571">
        <w:rPr>
          <w:rFonts w:cs="Arial"/>
          <w:sz w:val="18"/>
        </w:rPr>
        <w:t>5</w:t>
      </w:r>
      <w:r>
        <w:rPr>
          <w:rFonts w:cs="Arial"/>
          <w:sz w:val="18"/>
        </w:rPr>
        <w:t xml:space="preserve">15 </w:t>
      </w:r>
    </w:p>
    <w:p w:rsidR="008725D5" w:rsidRPr="0073300F" w:rsidRDefault="008725D5" w:rsidP="008725D5">
      <w:pPr>
        <w:pStyle w:val="BodyText"/>
        <w:rPr>
          <w:sz w:val="18"/>
        </w:rPr>
      </w:pPr>
      <w:r>
        <w:rPr>
          <w:rFonts w:cs="Arial"/>
          <w:sz w:val="18"/>
        </w:rPr>
        <w:t>QF12</w:t>
      </w:r>
      <w:r w:rsidRPr="0073300F">
        <w:rPr>
          <w:rFonts w:cs="Arial"/>
          <w:sz w:val="18"/>
        </w:rPr>
        <w:t xml:space="preserve">.  </w:t>
      </w:r>
      <w:r>
        <w:rPr>
          <w:rFonts w:cs="Arial"/>
          <w:sz w:val="18"/>
        </w:rPr>
        <w:t>Is Social Media part of your marketing plan?  QF13.  Which social media platforms do you use?</w:t>
      </w:r>
    </w:p>
    <w:p w:rsidR="00E15172" w:rsidRDefault="00755F1D" w:rsidP="009F7624">
      <w:pPr>
        <w:pStyle w:val="BodyText"/>
      </w:pPr>
      <w:r>
        <w:t>When asked if they agree or disagree that ‘Social media (e.g. Twitter and Facebook) is an important tool for their business’, more than half of all employers agree (5</w:t>
      </w:r>
      <w:r w:rsidR="00192B68">
        <w:t>4</w:t>
      </w:r>
      <w:r>
        <w:t>%), while 4</w:t>
      </w:r>
      <w:r w:rsidR="00192B68">
        <w:t>1</w:t>
      </w:r>
      <w:r>
        <w:t>% disagree.</w:t>
      </w:r>
    </w:p>
    <w:p w:rsidR="00755F1D" w:rsidRDefault="00755F1D" w:rsidP="009F7624">
      <w:pPr>
        <w:pStyle w:val="BodyText"/>
      </w:pPr>
      <w:r>
        <w:t>One in six employers (18%) strongly agree that it is an important tool, increasing to 26% of businesses established for less than 5 years and 26% of employer that have been innovators in the last 12 months.</w:t>
      </w:r>
    </w:p>
    <w:p w:rsidR="00CC3286" w:rsidRDefault="005E11F8" w:rsidP="005E11F8">
      <w:pPr>
        <w:pStyle w:val="Heading3"/>
      </w:pPr>
      <w:bookmarkStart w:id="30" w:name="_Toc394057521"/>
      <w:r>
        <w:t>Issues regarding access to broadband</w:t>
      </w:r>
      <w:bookmarkEnd w:id="30"/>
    </w:p>
    <w:p w:rsidR="001F2604" w:rsidRDefault="00E3671E" w:rsidP="001F2604">
      <w:pPr>
        <w:pStyle w:val="BodyText"/>
      </w:pPr>
      <w:r>
        <w:t>Employers</w:t>
      </w:r>
      <w:r w:rsidR="00755F1D">
        <w:t xml:space="preserve"> were asked the extent to which they agree or disagree about a number of statements regarding broadband.</w:t>
      </w:r>
    </w:p>
    <w:p w:rsidR="001503EB" w:rsidRDefault="001F2604" w:rsidP="001F2604">
      <w:pPr>
        <w:pStyle w:val="BodyText"/>
      </w:pPr>
      <w:r>
        <w:t>Nearly all employers (93%) agree that universal access to superfast broadband (i.e. 25mbps – megabits per second) is important for the local economy.  Fewer, but still the vast majority of employers, (8</w:t>
      </w:r>
      <w:r w:rsidR="00192B68">
        <w:t>6</w:t>
      </w:r>
      <w:r>
        <w:t>%) agree that having access to superfast broadband is important for their business, while two-thirds (</w:t>
      </w:r>
      <w:r w:rsidR="00192B68">
        <w:t>67</w:t>
      </w:r>
      <w:r>
        <w:t xml:space="preserve">%) agree that access to broadband for home-working is important for their business. </w:t>
      </w:r>
    </w:p>
    <w:p w:rsidR="001F2604" w:rsidRDefault="001F2604" w:rsidP="001F2604">
      <w:pPr>
        <w:pStyle w:val="Caption"/>
      </w:pPr>
      <w:r>
        <w:lastRenderedPageBreak/>
        <w:t xml:space="preserve">Figure 4.4:   </w:t>
      </w:r>
      <w:r w:rsidR="00023B67">
        <w:t xml:space="preserve">Extent to which employers agree or disagree with statements about </w:t>
      </w:r>
      <w:r w:rsidR="006C0EB2">
        <w:t xml:space="preserve">access to </w:t>
      </w:r>
      <w:r w:rsidR="00023B67">
        <w:t>broadband</w:t>
      </w:r>
      <w:r>
        <w:t xml:space="preserve"> (all </w:t>
      </w:r>
      <w:r w:rsidR="00E3671E">
        <w:t>employers</w:t>
      </w:r>
      <w:r>
        <w:t xml:space="preserve">) </w:t>
      </w:r>
    </w:p>
    <w:p w:rsidR="001F2604" w:rsidRDefault="008B4398" w:rsidP="001F2604">
      <w:pPr>
        <w:pStyle w:val="Caption"/>
      </w:pPr>
      <w:r w:rsidRPr="008B4398">
        <w:rPr>
          <w:noProof/>
          <w:lang w:eastAsia="en-GB"/>
        </w:rPr>
        <w:drawing>
          <wp:inline distT="0" distB="0" distL="0" distR="0">
            <wp:extent cx="5638800" cy="3619500"/>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2604" w:rsidRDefault="001F2604" w:rsidP="001F2604">
      <w:pPr>
        <w:pStyle w:val="BodyText"/>
        <w:rPr>
          <w:rFonts w:cs="Arial"/>
          <w:sz w:val="18"/>
        </w:rPr>
      </w:pPr>
      <w:r>
        <w:rPr>
          <w:rFonts w:cs="Arial"/>
          <w:sz w:val="18"/>
        </w:rPr>
        <w:t>Unweighted sample base = 1</w:t>
      </w:r>
      <w:r w:rsidR="006B4053">
        <w:rPr>
          <w:rFonts w:cs="Arial"/>
          <w:sz w:val="18"/>
        </w:rPr>
        <w:t>5</w:t>
      </w:r>
      <w:r>
        <w:rPr>
          <w:rFonts w:cs="Arial"/>
          <w:sz w:val="18"/>
        </w:rPr>
        <w:t xml:space="preserve">15 </w:t>
      </w:r>
    </w:p>
    <w:p w:rsidR="001F2604" w:rsidRDefault="001F2604" w:rsidP="001F2604">
      <w:pPr>
        <w:pStyle w:val="BodyText"/>
        <w:rPr>
          <w:sz w:val="18"/>
        </w:rPr>
      </w:pPr>
      <w:r>
        <w:rPr>
          <w:rFonts w:cs="Arial"/>
          <w:sz w:val="18"/>
        </w:rPr>
        <w:t>QF1</w:t>
      </w:r>
      <w:r w:rsidR="00023B67">
        <w:rPr>
          <w:rFonts w:cs="Arial"/>
          <w:sz w:val="18"/>
        </w:rPr>
        <w:t>4</w:t>
      </w:r>
      <w:r w:rsidRPr="0073300F">
        <w:rPr>
          <w:rFonts w:cs="Arial"/>
          <w:sz w:val="18"/>
        </w:rPr>
        <w:t xml:space="preserve">.  </w:t>
      </w:r>
      <w:r w:rsidR="00023B67">
        <w:rPr>
          <w:rFonts w:cs="Arial"/>
          <w:sz w:val="18"/>
        </w:rPr>
        <w:t>To what extent do you agree or disagree with the following statements</w:t>
      </w:r>
      <w:r>
        <w:rPr>
          <w:rFonts w:cs="Arial"/>
          <w:sz w:val="18"/>
        </w:rPr>
        <w:t>?</w:t>
      </w:r>
    </w:p>
    <w:p w:rsidR="00E8715D" w:rsidRDefault="00E8715D" w:rsidP="001F2604">
      <w:pPr>
        <w:pStyle w:val="BodyText"/>
        <w:rPr>
          <w:sz w:val="18"/>
        </w:rPr>
      </w:pPr>
    </w:p>
    <w:p w:rsidR="00E8715D" w:rsidRDefault="00E8715D" w:rsidP="00E8715D">
      <w:pPr>
        <w:pStyle w:val="BodyText"/>
        <w:rPr>
          <w:szCs w:val="28"/>
        </w:rPr>
      </w:pPr>
      <w:r>
        <w:rPr>
          <w:szCs w:val="28"/>
        </w:rPr>
        <w:t>By location, employers are significantly more likely than average to strongly agree that universal access to superfast broadband is important for the local economy in Lincolnshire county (61%) and North Kesteven (7</w:t>
      </w:r>
      <w:r w:rsidR="00192B68">
        <w:rPr>
          <w:szCs w:val="28"/>
        </w:rPr>
        <w:t>0</w:t>
      </w:r>
      <w:r>
        <w:rPr>
          <w:szCs w:val="28"/>
        </w:rPr>
        <w:t>%).   The propensity to strongly agree is particularly high amongst headquarters organisations (</w:t>
      </w:r>
      <w:r w:rsidR="00192B68">
        <w:rPr>
          <w:szCs w:val="28"/>
        </w:rPr>
        <w:t>74</w:t>
      </w:r>
      <w:r>
        <w:rPr>
          <w:szCs w:val="28"/>
        </w:rPr>
        <w:t>%) and within the sectors of agriculture/fishing (70%) and banking/finance/insurance (68%).</w:t>
      </w:r>
    </w:p>
    <w:p w:rsidR="00E8715D" w:rsidRDefault="00E8715D" w:rsidP="00E8715D">
      <w:pPr>
        <w:pStyle w:val="BodyText"/>
        <w:rPr>
          <w:szCs w:val="28"/>
        </w:rPr>
      </w:pPr>
      <w:r>
        <w:rPr>
          <w:szCs w:val="28"/>
        </w:rPr>
        <w:t xml:space="preserve">In terms of the importance of access to superfast broadband for their business, 50% of employers strongly agree and this increases to 60% of employers in the district of West Lindsey </w:t>
      </w:r>
      <w:r w:rsidR="00094099">
        <w:rPr>
          <w:szCs w:val="28"/>
        </w:rPr>
        <w:t>and is significantly higher than average amongst 100+ employers (68%),  headquarters organisations (6</w:t>
      </w:r>
      <w:r w:rsidR="00192B68">
        <w:rPr>
          <w:szCs w:val="28"/>
        </w:rPr>
        <w:t>2</w:t>
      </w:r>
      <w:r w:rsidR="00094099">
        <w:rPr>
          <w:szCs w:val="28"/>
        </w:rPr>
        <w:t>%) and amongst employers within banking/finance/insurance (60%).</w:t>
      </w:r>
      <w:r w:rsidR="009D42A1">
        <w:rPr>
          <w:szCs w:val="28"/>
        </w:rPr>
        <w:t xml:space="preserve">  </w:t>
      </w:r>
    </w:p>
    <w:p w:rsidR="009D42A1" w:rsidRDefault="008E0E86" w:rsidP="00E8715D">
      <w:pPr>
        <w:pStyle w:val="BodyText"/>
        <w:rPr>
          <w:szCs w:val="28"/>
        </w:rPr>
      </w:pPr>
      <w:r>
        <w:rPr>
          <w:szCs w:val="28"/>
        </w:rPr>
        <w:t>A third of employers strongly agree that access to broadband for home-working is important for their business (33%).  This increases to 40% of employers based in North Kesteven and 44% of those in West Lindsey.  It is significantly higher than average in banking/finance/insurance (41%) and construction (43%) and amongst headquarters organisations (4</w:t>
      </w:r>
      <w:r w:rsidR="00192B68">
        <w:rPr>
          <w:szCs w:val="28"/>
        </w:rPr>
        <w:t>7</w:t>
      </w:r>
      <w:r>
        <w:rPr>
          <w:szCs w:val="28"/>
        </w:rPr>
        <w:t>%).</w:t>
      </w:r>
    </w:p>
    <w:p w:rsidR="006C0EB2" w:rsidRDefault="006C0EB2" w:rsidP="00E8715D">
      <w:pPr>
        <w:pStyle w:val="BodyText"/>
        <w:rPr>
          <w:szCs w:val="28"/>
        </w:rPr>
      </w:pPr>
      <w:r>
        <w:rPr>
          <w:szCs w:val="28"/>
        </w:rPr>
        <w:t>Across these three statements, employers that export and have a website are significantly more likely than those that do not export or do not have a website to strongly agree that access to broadband (superfast broadband in particular) is important.  It is also particularly important for young businesses and those that have engaged in innovation activities in the last 12 months.</w:t>
      </w:r>
    </w:p>
    <w:p w:rsidR="006C0EB2" w:rsidRDefault="006C0EB2" w:rsidP="006C0EB2">
      <w:pPr>
        <w:pStyle w:val="Caption"/>
      </w:pPr>
      <w:r>
        <w:lastRenderedPageBreak/>
        <w:t xml:space="preserve">Table 4.5:  </w:t>
      </w:r>
      <w:r w:rsidR="006B4053">
        <w:t>Proportion of</w:t>
      </w:r>
      <w:r>
        <w:t xml:space="preserve"> employers </w:t>
      </w:r>
      <w:r w:rsidR="006B4053">
        <w:t xml:space="preserve">that strongly </w:t>
      </w:r>
      <w:r>
        <w:t>agree with statements about access to broadband</w:t>
      </w:r>
      <w:r w:rsidR="005D1880">
        <w:t>, by key variables</w:t>
      </w:r>
      <w:r>
        <w:t xml:space="preserve"> (all </w:t>
      </w:r>
      <w:r w:rsidR="00E3671E">
        <w:t>employers</w:t>
      </w:r>
      <w:r>
        <w:t xml:space="preserve">) </w:t>
      </w:r>
    </w:p>
    <w:tbl>
      <w:tblPr>
        <w:tblStyle w:val="LightList-Accent6"/>
        <w:tblW w:w="9828" w:type="dxa"/>
        <w:tblInd w:w="-459" w:type="dxa"/>
        <w:tblLook w:val="04A0" w:firstRow="1" w:lastRow="0" w:firstColumn="1" w:lastColumn="0" w:noHBand="0" w:noVBand="1"/>
      </w:tblPr>
      <w:tblGrid>
        <w:gridCol w:w="2694"/>
        <w:gridCol w:w="684"/>
        <w:gridCol w:w="645"/>
        <w:gridCol w:w="645"/>
        <w:gridCol w:w="645"/>
        <w:gridCol w:w="645"/>
        <w:gridCol w:w="645"/>
        <w:gridCol w:w="645"/>
        <w:gridCol w:w="645"/>
        <w:gridCol w:w="645"/>
        <w:gridCol w:w="645"/>
        <w:gridCol w:w="645"/>
      </w:tblGrid>
      <w:tr w:rsidR="006C0EB2" w:rsidRPr="003C0922" w:rsidTr="00E00A33">
        <w:trPr>
          <w:cnfStyle w:val="100000000000" w:firstRow="1" w:lastRow="0" w:firstColumn="0" w:lastColumn="0" w:oddVBand="0" w:evenVBand="0" w:oddHBand="0" w:evenHBand="0" w:firstRowFirstColumn="0" w:firstRowLastColumn="0" w:lastRowFirstColumn="0" w:lastRowLastColumn="0"/>
          <w:cantSplit/>
          <w:trHeight w:val="2895"/>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C0EB2" w:rsidRPr="003C0922" w:rsidRDefault="006C0EB2" w:rsidP="006C0EB2">
            <w:pPr>
              <w:spacing w:before="60" w:after="60"/>
              <w:rPr>
                <w:rFonts w:cstheme="minorHAnsi"/>
                <w:b w:val="0"/>
                <w:sz w:val="20"/>
              </w:rPr>
            </w:pPr>
          </w:p>
        </w:tc>
        <w:tc>
          <w:tcPr>
            <w:tcW w:w="684" w:type="dxa"/>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Greater Lincolnshire</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Lincolnshire county</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Exporters</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Non-exporters</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Have a website</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No website</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Young (est. &lt; 5 years)</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Established &gt; 5 years</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New products/services</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New processes</w:t>
            </w:r>
          </w:p>
        </w:tc>
        <w:tc>
          <w:tcPr>
            <w:tcW w:w="645" w:type="dxa"/>
            <w:tcBorders>
              <w:bottom w:val="single" w:sz="8" w:space="0" w:color="73A5D8" w:themeColor="accent6"/>
            </w:tcBorders>
            <w:textDirection w:val="tbRl"/>
            <w:vAlign w:val="center"/>
          </w:tcPr>
          <w:p w:rsidR="006C0EB2" w:rsidRPr="00E00A33" w:rsidRDefault="006C0EB2" w:rsidP="006C0EB2">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No innovation</w:t>
            </w:r>
          </w:p>
        </w:tc>
      </w:tr>
      <w:tr w:rsidR="006C0EB2" w:rsidTr="006B4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C0EB2" w:rsidRPr="003C0922" w:rsidRDefault="006C0EB2" w:rsidP="0082125A">
            <w:pPr>
              <w:spacing w:before="40" w:after="40"/>
              <w:rPr>
                <w:rFonts w:cstheme="minorHAnsi"/>
                <w:b w:val="0"/>
                <w:color w:val="000000"/>
                <w:sz w:val="20"/>
              </w:rPr>
            </w:pPr>
            <w:r>
              <w:rPr>
                <w:rFonts w:cstheme="minorHAnsi"/>
                <w:b w:val="0"/>
                <w:color w:val="000000"/>
                <w:sz w:val="20"/>
              </w:rPr>
              <w:t>Universal access to superfast broadband is important for the economy</w:t>
            </w:r>
          </w:p>
        </w:tc>
        <w:tc>
          <w:tcPr>
            <w:tcW w:w="684" w:type="dxa"/>
            <w:tcBorders>
              <w:right w:val="single" w:sz="8" w:space="0" w:color="73A5D8" w:themeColor="accent6"/>
            </w:tcBorders>
            <w:vAlign w:val="center"/>
          </w:tcPr>
          <w:p w:rsidR="006C0EB2" w:rsidRPr="003C092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59</w:t>
            </w:r>
          </w:p>
        </w:tc>
        <w:tc>
          <w:tcPr>
            <w:tcW w:w="645" w:type="dxa"/>
            <w:tcBorders>
              <w:left w:val="single" w:sz="8" w:space="0" w:color="73A5D8" w:themeColor="accent6"/>
              <w:right w:val="double" w:sz="4" w:space="0" w:color="0070C0"/>
            </w:tcBorders>
            <w:vAlign w:val="center"/>
          </w:tcPr>
          <w:p w:rsidR="006C0EB2" w:rsidRPr="006C0EB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6C0EB2">
              <w:rPr>
                <w:rFonts w:cstheme="minorHAnsi"/>
                <w:b/>
                <w:color w:val="000000"/>
              </w:rPr>
              <w:t>61</w:t>
            </w:r>
          </w:p>
        </w:tc>
        <w:tc>
          <w:tcPr>
            <w:tcW w:w="645" w:type="dxa"/>
            <w:tcBorders>
              <w:left w:val="double" w:sz="4" w:space="0" w:color="0070C0"/>
              <w:right w:val="single" w:sz="8" w:space="0" w:color="73A5D8" w:themeColor="accent6"/>
            </w:tcBorders>
            <w:vAlign w:val="center"/>
          </w:tcPr>
          <w:p w:rsidR="006C0EB2" w:rsidRPr="006C0EB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C0EB2">
              <w:rPr>
                <w:rFonts w:cstheme="minorHAnsi"/>
                <w:color w:val="000000"/>
              </w:rPr>
              <w:t>6</w:t>
            </w:r>
            <w:r w:rsidR="006B4053">
              <w:rPr>
                <w:rFonts w:cstheme="minorHAnsi"/>
                <w:color w:val="000000"/>
              </w:rPr>
              <w:t>6</w:t>
            </w:r>
          </w:p>
        </w:tc>
        <w:tc>
          <w:tcPr>
            <w:tcW w:w="645" w:type="dxa"/>
            <w:tcBorders>
              <w:left w:val="single" w:sz="8" w:space="0" w:color="73A5D8" w:themeColor="accent6"/>
              <w:right w:val="double" w:sz="4" w:space="0" w:color="0070C0"/>
            </w:tcBorders>
            <w:vAlign w:val="center"/>
          </w:tcPr>
          <w:p w:rsidR="006C0EB2" w:rsidRPr="006C0EB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6C0EB2">
              <w:rPr>
                <w:rFonts w:cstheme="minorHAnsi"/>
                <w:i/>
                <w:color w:val="000000"/>
              </w:rPr>
              <w:t>58</w:t>
            </w:r>
          </w:p>
        </w:tc>
        <w:tc>
          <w:tcPr>
            <w:tcW w:w="645" w:type="dxa"/>
            <w:tcBorders>
              <w:left w:val="double" w:sz="4" w:space="0" w:color="0070C0"/>
              <w:right w:val="single" w:sz="8" w:space="0" w:color="73A5D8" w:themeColor="accent6"/>
            </w:tcBorders>
            <w:vAlign w:val="center"/>
          </w:tcPr>
          <w:p w:rsidR="006C0EB2" w:rsidRPr="006C0EB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6C0EB2">
              <w:rPr>
                <w:rFonts w:cstheme="minorHAnsi"/>
                <w:b/>
                <w:color w:val="000000"/>
              </w:rPr>
              <w:t>62</w:t>
            </w:r>
          </w:p>
        </w:tc>
        <w:tc>
          <w:tcPr>
            <w:tcW w:w="645" w:type="dxa"/>
            <w:tcBorders>
              <w:left w:val="single" w:sz="8" w:space="0" w:color="73A5D8" w:themeColor="accent6"/>
              <w:right w:val="double" w:sz="4" w:space="0" w:color="0070C0"/>
            </w:tcBorders>
            <w:vAlign w:val="center"/>
          </w:tcPr>
          <w:p w:rsidR="006C0EB2" w:rsidRPr="003C092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51</w:t>
            </w:r>
          </w:p>
        </w:tc>
        <w:tc>
          <w:tcPr>
            <w:tcW w:w="645" w:type="dxa"/>
            <w:tcBorders>
              <w:left w:val="double" w:sz="4" w:space="0" w:color="0070C0"/>
              <w:right w:val="single" w:sz="8" w:space="0" w:color="73A5D8" w:themeColor="accent6"/>
            </w:tcBorders>
            <w:vAlign w:val="center"/>
          </w:tcPr>
          <w:p w:rsidR="006C0EB2" w:rsidRPr="003C092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w:t>
            </w:r>
            <w:r w:rsidR="006B4053">
              <w:rPr>
                <w:rFonts w:cstheme="minorHAnsi"/>
                <w:color w:val="000000"/>
              </w:rPr>
              <w:t>6</w:t>
            </w:r>
          </w:p>
        </w:tc>
        <w:tc>
          <w:tcPr>
            <w:tcW w:w="645" w:type="dxa"/>
            <w:tcBorders>
              <w:left w:val="single" w:sz="8" w:space="0" w:color="73A5D8" w:themeColor="accent6"/>
              <w:right w:val="double" w:sz="4" w:space="0" w:color="0070C0"/>
            </w:tcBorders>
            <w:vAlign w:val="center"/>
          </w:tcPr>
          <w:p w:rsidR="006C0EB2" w:rsidRPr="006C0EB2" w:rsidRDefault="006C0EB2"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C0EB2">
              <w:rPr>
                <w:rFonts w:cstheme="minorHAnsi"/>
                <w:color w:val="000000"/>
              </w:rPr>
              <w:t>58</w:t>
            </w:r>
          </w:p>
        </w:tc>
        <w:tc>
          <w:tcPr>
            <w:tcW w:w="645" w:type="dxa"/>
            <w:tcBorders>
              <w:left w:val="double" w:sz="4" w:space="0" w:color="0070C0"/>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65</w:t>
            </w:r>
          </w:p>
        </w:tc>
        <w:tc>
          <w:tcPr>
            <w:tcW w:w="645" w:type="dxa"/>
            <w:tcBorders>
              <w:left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66</w:t>
            </w:r>
          </w:p>
        </w:tc>
        <w:tc>
          <w:tcPr>
            <w:tcW w:w="645" w:type="dxa"/>
            <w:tcBorders>
              <w:lef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D1880">
              <w:rPr>
                <w:rFonts w:cstheme="minorHAnsi"/>
                <w:i/>
                <w:color w:val="000000"/>
              </w:rPr>
              <w:t>54</w:t>
            </w:r>
          </w:p>
        </w:tc>
      </w:tr>
      <w:tr w:rsidR="006C0EB2" w:rsidTr="006B4053">
        <w:tc>
          <w:tcPr>
            <w:cnfStyle w:val="001000000000" w:firstRow="0" w:lastRow="0" w:firstColumn="1" w:lastColumn="0" w:oddVBand="0" w:evenVBand="0" w:oddHBand="0" w:evenHBand="0" w:firstRowFirstColumn="0" w:firstRowLastColumn="0" w:lastRowFirstColumn="0" w:lastRowLastColumn="0"/>
            <w:tcW w:w="2694" w:type="dxa"/>
            <w:vAlign w:val="center"/>
          </w:tcPr>
          <w:p w:rsidR="006C0EB2" w:rsidRPr="003C0922" w:rsidRDefault="006C0EB2" w:rsidP="0082125A">
            <w:pPr>
              <w:spacing w:before="40" w:after="40"/>
              <w:rPr>
                <w:rFonts w:cstheme="minorHAnsi"/>
                <w:b w:val="0"/>
                <w:color w:val="000000"/>
                <w:sz w:val="20"/>
              </w:rPr>
            </w:pPr>
            <w:r>
              <w:rPr>
                <w:rFonts w:cstheme="minorHAnsi"/>
                <w:b w:val="0"/>
                <w:color w:val="000000"/>
                <w:sz w:val="20"/>
              </w:rPr>
              <w:t>Having access to superfast broadband is important for my business</w:t>
            </w:r>
          </w:p>
        </w:tc>
        <w:tc>
          <w:tcPr>
            <w:tcW w:w="684" w:type="dxa"/>
            <w:tcBorders>
              <w:right w:val="single" w:sz="8" w:space="0" w:color="73A5D8" w:themeColor="accent6"/>
            </w:tcBorders>
            <w:vAlign w:val="center"/>
          </w:tcPr>
          <w:p w:rsidR="006C0EB2" w:rsidRPr="003C0922"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50</w:t>
            </w:r>
          </w:p>
        </w:tc>
        <w:tc>
          <w:tcPr>
            <w:tcW w:w="645" w:type="dxa"/>
            <w:tcBorders>
              <w:top w:val="single" w:sz="8" w:space="0" w:color="73A5D8" w:themeColor="accent6"/>
              <w:left w:val="single" w:sz="8" w:space="0" w:color="73A5D8" w:themeColor="accent6"/>
              <w:bottom w:val="single" w:sz="8" w:space="0" w:color="73A5D8" w:themeColor="accent6"/>
              <w:right w:val="double" w:sz="4" w:space="0" w:color="0070C0"/>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D1880">
              <w:rPr>
                <w:rFonts w:cstheme="minorHAnsi"/>
                <w:b/>
                <w:color w:val="000000"/>
              </w:rPr>
              <w:t>52</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5D1880" w:rsidRDefault="006B4053"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60</w:t>
            </w:r>
          </w:p>
        </w:tc>
        <w:tc>
          <w:tcPr>
            <w:tcW w:w="645" w:type="dxa"/>
            <w:tcBorders>
              <w:top w:val="single" w:sz="8" w:space="0" w:color="73A5D8" w:themeColor="accent6"/>
              <w:left w:val="single" w:sz="8" w:space="0" w:color="73A5D8" w:themeColor="accent6"/>
              <w:bottom w:val="single" w:sz="8" w:space="0" w:color="73A5D8" w:themeColor="accent6"/>
              <w:right w:val="double" w:sz="4" w:space="0" w:color="0070C0"/>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D1880">
              <w:rPr>
                <w:rFonts w:cstheme="minorHAnsi"/>
                <w:i/>
                <w:color w:val="000000"/>
              </w:rPr>
              <w:t>4</w:t>
            </w:r>
            <w:r w:rsidR="006B4053">
              <w:rPr>
                <w:rFonts w:cstheme="minorHAnsi"/>
                <w:i/>
                <w:color w:val="000000"/>
              </w:rPr>
              <w:t>9</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D1880">
              <w:rPr>
                <w:rFonts w:cstheme="minorHAnsi"/>
                <w:b/>
                <w:color w:val="000000"/>
              </w:rPr>
              <w:t>55</w:t>
            </w:r>
          </w:p>
        </w:tc>
        <w:tc>
          <w:tcPr>
            <w:tcW w:w="645" w:type="dxa"/>
            <w:tcBorders>
              <w:top w:val="single" w:sz="8" w:space="0" w:color="73A5D8" w:themeColor="accent6"/>
              <w:left w:val="single" w:sz="8" w:space="0" w:color="73A5D8" w:themeColor="accent6"/>
              <w:bottom w:val="single" w:sz="8" w:space="0" w:color="73A5D8" w:themeColor="accent6"/>
              <w:right w:val="double" w:sz="4" w:space="0" w:color="0070C0"/>
            </w:tcBorders>
            <w:vAlign w:val="center"/>
          </w:tcPr>
          <w:p w:rsidR="006C0EB2" w:rsidRPr="003C0922"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Pr>
                <w:rFonts w:cstheme="minorHAnsi"/>
                <w:i/>
                <w:color w:val="000000"/>
              </w:rPr>
              <w:t>36</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D1880">
              <w:rPr>
                <w:rFonts w:cstheme="minorHAnsi"/>
                <w:b/>
                <w:color w:val="000000"/>
              </w:rPr>
              <w:t>56</w:t>
            </w:r>
          </w:p>
        </w:tc>
        <w:tc>
          <w:tcPr>
            <w:tcW w:w="645" w:type="dxa"/>
            <w:tcBorders>
              <w:top w:val="single" w:sz="8" w:space="0" w:color="73A5D8" w:themeColor="accent6"/>
              <w:left w:val="single" w:sz="8" w:space="0" w:color="73A5D8" w:themeColor="accent6"/>
              <w:bottom w:val="single" w:sz="8" w:space="0" w:color="73A5D8" w:themeColor="accent6"/>
              <w:right w:val="double" w:sz="4" w:space="0" w:color="0070C0"/>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D1880">
              <w:rPr>
                <w:rFonts w:cstheme="minorHAnsi"/>
                <w:i/>
                <w:color w:val="000000"/>
              </w:rPr>
              <w:t>49</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D1880">
              <w:rPr>
                <w:rFonts w:cstheme="minorHAnsi"/>
                <w:b/>
                <w:color w:val="000000"/>
              </w:rPr>
              <w:t>6</w:t>
            </w:r>
            <w:r w:rsidR="006B4053">
              <w:rPr>
                <w:rFonts w:cstheme="minorHAnsi"/>
                <w:b/>
                <w:color w:val="000000"/>
              </w:rPr>
              <w:t>1</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D1880">
              <w:rPr>
                <w:rFonts w:cstheme="minorHAnsi"/>
                <w:b/>
                <w:color w:val="000000"/>
              </w:rPr>
              <w:t>60</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D1880">
              <w:rPr>
                <w:rFonts w:cstheme="minorHAnsi"/>
                <w:i/>
                <w:color w:val="000000"/>
              </w:rPr>
              <w:t>42</w:t>
            </w:r>
          </w:p>
        </w:tc>
      </w:tr>
      <w:tr w:rsidR="006C0EB2" w:rsidTr="006B4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C0EB2" w:rsidRPr="003C0922" w:rsidRDefault="006C0EB2" w:rsidP="0082125A">
            <w:pPr>
              <w:spacing w:before="40" w:after="40"/>
              <w:rPr>
                <w:rFonts w:cstheme="minorHAnsi"/>
                <w:b w:val="0"/>
                <w:color w:val="000000"/>
                <w:sz w:val="20"/>
              </w:rPr>
            </w:pPr>
            <w:r>
              <w:rPr>
                <w:rFonts w:cstheme="minorHAnsi"/>
                <w:b w:val="0"/>
                <w:color w:val="000000"/>
                <w:sz w:val="20"/>
              </w:rPr>
              <w:t>Access to broadband for home-working is important for my business</w:t>
            </w:r>
          </w:p>
        </w:tc>
        <w:tc>
          <w:tcPr>
            <w:tcW w:w="684" w:type="dxa"/>
            <w:tcBorders>
              <w:right w:val="single" w:sz="8" w:space="0" w:color="73A5D8" w:themeColor="accent6"/>
            </w:tcBorders>
            <w:vAlign w:val="center"/>
          </w:tcPr>
          <w:p w:rsidR="006C0EB2" w:rsidRPr="003C0922"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33</w:t>
            </w:r>
          </w:p>
        </w:tc>
        <w:tc>
          <w:tcPr>
            <w:tcW w:w="645" w:type="dxa"/>
            <w:tcBorders>
              <w:left w:val="single" w:sz="8" w:space="0" w:color="73A5D8" w:themeColor="accent6"/>
              <w:right w:val="double" w:sz="4" w:space="0" w:color="0070C0"/>
            </w:tcBorders>
            <w:vAlign w:val="center"/>
          </w:tcPr>
          <w:p w:rsidR="006C0EB2" w:rsidRPr="003C0922"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34</w:t>
            </w:r>
          </w:p>
        </w:tc>
        <w:tc>
          <w:tcPr>
            <w:tcW w:w="645" w:type="dxa"/>
            <w:tcBorders>
              <w:left w:val="double" w:sz="4" w:space="0" w:color="0070C0"/>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4</w:t>
            </w:r>
            <w:r w:rsidR="006B4053">
              <w:rPr>
                <w:rFonts w:cstheme="minorHAnsi"/>
                <w:b/>
                <w:color w:val="000000"/>
              </w:rPr>
              <w:t>2</w:t>
            </w:r>
          </w:p>
        </w:tc>
        <w:tc>
          <w:tcPr>
            <w:tcW w:w="645" w:type="dxa"/>
            <w:tcBorders>
              <w:left w:val="single" w:sz="8" w:space="0" w:color="73A5D8" w:themeColor="accent6"/>
              <w:right w:val="double" w:sz="4" w:space="0" w:color="0070C0"/>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D1880">
              <w:rPr>
                <w:rFonts w:cstheme="minorHAnsi"/>
                <w:i/>
                <w:color w:val="000000"/>
              </w:rPr>
              <w:t>32</w:t>
            </w:r>
          </w:p>
        </w:tc>
        <w:tc>
          <w:tcPr>
            <w:tcW w:w="645" w:type="dxa"/>
            <w:tcBorders>
              <w:left w:val="double" w:sz="4" w:space="0" w:color="0070C0"/>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35</w:t>
            </w:r>
          </w:p>
        </w:tc>
        <w:tc>
          <w:tcPr>
            <w:tcW w:w="645" w:type="dxa"/>
            <w:tcBorders>
              <w:left w:val="single" w:sz="8" w:space="0" w:color="73A5D8" w:themeColor="accent6"/>
              <w:right w:val="double" w:sz="4" w:space="0" w:color="0070C0"/>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D1880">
              <w:rPr>
                <w:rFonts w:cstheme="minorHAnsi"/>
                <w:i/>
                <w:color w:val="000000"/>
              </w:rPr>
              <w:t>2</w:t>
            </w:r>
            <w:r w:rsidR="006B4053">
              <w:rPr>
                <w:rFonts w:cstheme="minorHAnsi"/>
                <w:i/>
                <w:color w:val="000000"/>
              </w:rPr>
              <w:t>7</w:t>
            </w:r>
          </w:p>
        </w:tc>
        <w:tc>
          <w:tcPr>
            <w:tcW w:w="645" w:type="dxa"/>
            <w:tcBorders>
              <w:left w:val="double" w:sz="4" w:space="0" w:color="0070C0"/>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43</w:t>
            </w:r>
          </w:p>
        </w:tc>
        <w:tc>
          <w:tcPr>
            <w:tcW w:w="645" w:type="dxa"/>
            <w:tcBorders>
              <w:left w:val="single" w:sz="8" w:space="0" w:color="73A5D8" w:themeColor="accent6"/>
              <w:right w:val="double" w:sz="4" w:space="0" w:color="0070C0"/>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D1880">
              <w:rPr>
                <w:rFonts w:cstheme="minorHAnsi"/>
                <w:i/>
                <w:color w:val="000000"/>
              </w:rPr>
              <w:t>31</w:t>
            </w:r>
          </w:p>
        </w:tc>
        <w:tc>
          <w:tcPr>
            <w:tcW w:w="645" w:type="dxa"/>
            <w:tcBorders>
              <w:left w:val="double" w:sz="4" w:space="0" w:color="0070C0"/>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40</w:t>
            </w:r>
          </w:p>
        </w:tc>
        <w:tc>
          <w:tcPr>
            <w:tcW w:w="645" w:type="dxa"/>
            <w:tcBorders>
              <w:left w:val="single" w:sz="8" w:space="0" w:color="73A5D8" w:themeColor="accent6"/>
              <w:righ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D1880">
              <w:rPr>
                <w:rFonts w:cstheme="minorHAnsi"/>
                <w:b/>
                <w:color w:val="000000"/>
              </w:rPr>
              <w:t>4</w:t>
            </w:r>
            <w:r w:rsidR="006B4053">
              <w:rPr>
                <w:rFonts w:cstheme="minorHAnsi"/>
                <w:b/>
                <w:color w:val="000000"/>
              </w:rPr>
              <w:t>1</w:t>
            </w:r>
          </w:p>
        </w:tc>
        <w:tc>
          <w:tcPr>
            <w:tcW w:w="645" w:type="dxa"/>
            <w:tcBorders>
              <w:left w:val="single" w:sz="8" w:space="0" w:color="73A5D8" w:themeColor="accent6"/>
            </w:tcBorders>
            <w:vAlign w:val="center"/>
          </w:tcPr>
          <w:p w:rsidR="006C0EB2" w:rsidRPr="005D1880" w:rsidRDefault="005D1880"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D1880">
              <w:rPr>
                <w:rFonts w:cstheme="minorHAnsi"/>
                <w:i/>
                <w:color w:val="000000"/>
              </w:rPr>
              <w:t>27</w:t>
            </w:r>
          </w:p>
        </w:tc>
      </w:tr>
      <w:tr w:rsidR="006C0EB2" w:rsidRPr="003C0922" w:rsidTr="006B4053">
        <w:tc>
          <w:tcPr>
            <w:cnfStyle w:val="001000000000" w:firstRow="0" w:lastRow="0" w:firstColumn="1" w:lastColumn="0" w:oddVBand="0" w:evenVBand="0" w:oddHBand="0" w:evenHBand="0" w:firstRowFirstColumn="0" w:firstRowLastColumn="0" w:lastRowFirstColumn="0" w:lastRowLastColumn="0"/>
            <w:tcW w:w="2694" w:type="dxa"/>
            <w:vAlign w:val="center"/>
          </w:tcPr>
          <w:p w:rsidR="006C0EB2" w:rsidRPr="003C0922" w:rsidRDefault="006C0EB2" w:rsidP="006C0EB2">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684" w:type="dxa"/>
            <w:tcBorders>
              <w:right w:val="single" w:sz="8" w:space="0" w:color="73A5D8" w:themeColor="accent6"/>
            </w:tcBorders>
            <w:vAlign w:val="center"/>
          </w:tcPr>
          <w:p w:rsidR="006C0EB2" w:rsidRPr="003C0922" w:rsidRDefault="006C0EB2" w:rsidP="006B4053">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sidRPr="003C0922">
              <w:rPr>
                <w:rFonts w:cstheme="minorHAnsi"/>
                <w:i/>
                <w:color w:val="000000"/>
                <w:sz w:val="18"/>
              </w:rPr>
              <w:t>1</w:t>
            </w:r>
            <w:r w:rsidR="006B4053">
              <w:rPr>
                <w:rFonts w:cstheme="minorHAnsi"/>
                <w:i/>
                <w:color w:val="000000"/>
                <w:sz w:val="18"/>
              </w:rPr>
              <w:t>5</w:t>
            </w:r>
            <w:r w:rsidRPr="003C0922">
              <w:rPr>
                <w:rFonts w:cstheme="minorHAnsi"/>
                <w:i/>
                <w:color w:val="000000"/>
                <w:sz w:val="18"/>
              </w:rPr>
              <w:t>15</w:t>
            </w:r>
          </w:p>
        </w:tc>
        <w:tc>
          <w:tcPr>
            <w:tcW w:w="645" w:type="dxa"/>
            <w:tcBorders>
              <w:left w:val="single" w:sz="8" w:space="0" w:color="73A5D8" w:themeColor="accent6"/>
              <w:right w:val="double" w:sz="4" w:space="0" w:color="0070C0"/>
            </w:tcBorders>
            <w:vAlign w:val="center"/>
          </w:tcPr>
          <w:p w:rsidR="006C0EB2" w:rsidRPr="003C0922" w:rsidRDefault="006C0EB2"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sidRPr="003C0922">
              <w:rPr>
                <w:rFonts w:cstheme="minorHAnsi"/>
                <w:i/>
                <w:color w:val="000000"/>
                <w:sz w:val="18"/>
              </w:rPr>
              <w:t>1141</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197</w:t>
            </w:r>
          </w:p>
        </w:tc>
        <w:tc>
          <w:tcPr>
            <w:tcW w:w="645" w:type="dxa"/>
            <w:tcBorders>
              <w:left w:val="single" w:sz="8" w:space="0" w:color="73A5D8" w:themeColor="accent6"/>
              <w:right w:val="double" w:sz="4" w:space="0" w:color="0070C0"/>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1339</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1158</w:t>
            </w:r>
          </w:p>
        </w:tc>
        <w:tc>
          <w:tcPr>
            <w:tcW w:w="645" w:type="dxa"/>
            <w:tcBorders>
              <w:left w:val="single" w:sz="8" w:space="0" w:color="73A5D8" w:themeColor="accent6"/>
              <w:right w:val="double" w:sz="4" w:space="0" w:color="0070C0"/>
            </w:tcBorders>
            <w:vAlign w:val="center"/>
          </w:tcPr>
          <w:p w:rsidR="006C0EB2" w:rsidRPr="003C0922" w:rsidRDefault="006B4053" w:rsidP="006B4053">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357</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210</w:t>
            </w:r>
          </w:p>
        </w:tc>
        <w:tc>
          <w:tcPr>
            <w:tcW w:w="645" w:type="dxa"/>
            <w:tcBorders>
              <w:left w:val="single" w:sz="8" w:space="0" w:color="73A5D8" w:themeColor="accent6"/>
              <w:right w:val="double" w:sz="4" w:space="0" w:color="0070C0"/>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1305</w:t>
            </w:r>
          </w:p>
        </w:tc>
        <w:tc>
          <w:tcPr>
            <w:tcW w:w="645" w:type="dxa"/>
            <w:tcBorders>
              <w:top w:val="single" w:sz="8" w:space="0" w:color="73A5D8" w:themeColor="accent6"/>
              <w:left w:val="double" w:sz="4" w:space="0" w:color="0070C0"/>
              <w:bottom w:val="single" w:sz="8" w:space="0" w:color="73A5D8" w:themeColor="accent6"/>
              <w:right w:val="single" w:sz="8" w:space="0" w:color="73A5D8" w:themeColor="accent6"/>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566</w:t>
            </w:r>
          </w:p>
        </w:tc>
        <w:tc>
          <w:tcPr>
            <w:tcW w:w="645" w:type="dxa"/>
            <w:tcBorders>
              <w:left w:val="single" w:sz="8" w:space="0" w:color="73A5D8" w:themeColor="accent6"/>
              <w:right w:val="single" w:sz="8" w:space="0" w:color="73A5D8" w:themeColor="accent6"/>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531</w:t>
            </w:r>
          </w:p>
        </w:tc>
        <w:tc>
          <w:tcPr>
            <w:tcW w:w="645" w:type="dxa"/>
            <w:tcBorders>
              <w:left w:val="single" w:sz="8" w:space="0" w:color="73A5D8" w:themeColor="accent6"/>
              <w:right w:val="single" w:sz="8" w:space="0" w:color="73A5D8" w:themeColor="accent6"/>
            </w:tcBorders>
            <w:vAlign w:val="center"/>
          </w:tcPr>
          <w:p w:rsidR="006C0EB2" w:rsidRPr="003C0922" w:rsidRDefault="006B4053" w:rsidP="006C0EB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758</w:t>
            </w:r>
          </w:p>
        </w:tc>
      </w:tr>
    </w:tbl>
    <w:p w:rsidR="006C0EB2" w:rsidRDefault="006C0EB2" w:rsidP="00E8715D">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094099" w:rsidRDefault="00094099" w:rsidP="00E8715D">
      <w:pPr>
        <w:pStyle w:val="BodyText"/>
        <w:rPr>
          <w:szCs w:val="28"/>
        </w:rPr>
      </w:pPr>
    </w:p>
    <w:p w:rsidR="00245AD3" w:rsidRDefault="00245AD3" w:rsidP="00245AD3">
      <w:pPr>
        <w:pStyle w:val="Heading3"/>
      </w:pPr>
      <w:bookmarkStart w:id="31" w:name="_Toc394057522"/>
      <w:r>
        <w:t>Importance of reliable mobile connections</w:t>
      </w:r>
      <w:bookmarkEnd w:id="31"/>
    </w:p>
    <w:p w:rsidR="00245AD3" w:rsidRDefault="00E3671E" w:rsidP="00245AD3">
      <w:pPr>
        <w:pStyle w:val="BodyText"/>
      </w:pPr>
      <w:r>
        <w:t>Employers</w:t>
      </w:r>
      <w:r w:rsidR="00245AD3">
        <w:t xml:space="preserve"> were asked the extent to which they agree or disagree </w:t>
      </w:r>
      <w:r w:rsidR="00960F68">
        <w:t xml:space="preserve">that reliable and widely available mobile connections for employees while they are out on the road in Greater Lincolnshire are important for their business.  </w:t>
      </w:r>
    </w:p>
    <w:p w:rsidR="00960F68" w:rsidRDefault="00960F68" w:rsidP="00245AD3">
      <w:pPr>
        <w:pStyle w:val="BodyText"/>
      </w:pPr>
      <w:r>
        <w:t>More than three-quarters of</w:t>
      </w:r>
      <w:r w:rsidR="00245AD3">
        <w:t xml:space="preserve"> employers (</w:t>
      </w:r>
      <w:r>
        <w:t>77</w:t>
      </w:r>
      <w:r w:rsidR="00245AD3">
        <w:t xml:space="preserve">%) agree that </w:t>
      </w:r>
      <w:r>
        <w:t>reliable and widely available mobile connections are important</w:t>
      </w:r>
      <w:r w:rsidR="00245AD3">
        <w:t>.</w:t>
      </w:r>
      <w:r>
        <w:t xml:space="preserve">  This includes 42% that agree strongly.   </w:t>
      </w:r>
    </w:p>
    <w:p w:rsidR="00960F68" w:rsidRDefault="00960F68" w:rsidP="00960F68">
      <w:pPr>
        <w:pStyle w:val="BodyText"/>
        <w:rPr>
          <w:szCs w:val="28"/>
        </w:rPr>
      </w:pPr>
      <w:r>
        <w:rPr>
          <w:szCs w:val="28"/>
        </w:rPr>
        <w:t xml:space="preserve">By location, employers are significantly more likely than average to strongly agree that </w:t>
      </w:r>
      <w:r>
        <w:t>reliable and widely available mobile connections are important</w:t>
      </w:r>
      <w:r>
        <w:rPr>
          <w:szCs w:val="28"/>
        </w:rPr>
        <w:t xml:space="preserve"> in West Lindsey (51%).   The propensity to strongly agree is particularly high within the sectors of agriculture/fishing (</w:t>
      </w:r>
      <w:r w:rsidR="00426F6D">
        <w:rPr>
          <w:szCs w:val="28"/>
        </w:rPr>
        <w:t>57</w:t>
      </w:r>
      <w:r>
        <w:rPr>
          <w:szCs w:val="28"/>
        </w:rPr>
        <w:t>%)</w:t>
      </w:r>
      <w:r w:rsidR="00426F6D">
        <w:rPr>
          <w:szCs w:val="28"/>
        </w:rPr>
        <w:t>,</w:t>
      </w:r>
      <w:r>
        <w:rPr>
          <w:szCs w:val="28"/>
        </w:rPr>
        <w:t xml:space="preserve"> banking/finance/insurance (</w:t>
      </w:r>
      <w:r w:rsidR="00426F6D">
        <w:rPr>
          <w:szCs w:val="28"/>
        </w:rPr>
        <w:t>53</w:t>
      </w:r>
      <w:r>
        <w:rPr>
          <w:szCs w:val="28"/>
        </w:rPr>
        <w:t>%)</w:t>
      </w:r>
      <w:r w:rsidR="00426F6D">
        <w:rPr>
          <w:szCs w:val="28"/>
        </w:rPr>
        <w:t xml:space="preserve"> and construction (62%)</w:t>
      </w:r>
      <w:r>
        <w:rPr>
          <w:szCs w:val="28"/>
        </w:rPr>
        <w:t>.</w:t>
      </w:r>
    </w:p>
    <w:p w:rsidR="00245AD3" w:rsidRDefault="00245AD3" w:rsidP="00E8715D">
      <w:pPr>
        <w:pStyle w:val="BodyText"/>
        <w:rPr>
          <w:szCs w:val="28"/>
        </w:rPr>
      </w:pPr>
    </w:p>
    <w:p w:rsidR="00E8715D" w:rsidRPr="00E8715D" w:rsidRDefault="00E8715D" w:rsidP="00E8715D">
      <w:pPr>
        <w:pStyle w:val="BodyText"/>
        <w:rPr>
          <w:szCs w:val="28"/>
        </w:rPr>
      </w:pPr>
    </w:p>
    <w:p w:rsidR="001503EB" w:rsidRDefault="001503EB" w:rsidP="001503EB">
      <w:pPr>
        <w:pStyle w:val="Heading1"/>
      </w:pPr>
      <w:bookmarkStart w:id="32" w:name="_Toc394057523"/>
      <w:r>
        <w:lastRenderedPageBreak/>
        <w:t>Business Growth</w:t>
      </w:r>
      <w:r w:rsidR="00D135B0">
        <w:t xml:space="preserve"> and </w:t>
      </w:r>
      <w:r w:rsidR="00206CE3">
        <w:t>Innovation</w:t>
      </w:r>
      <w:bookmarkEnd w:id="32"/>
      <w:r w:rsidR="00206CE3">
        <w:t xml:space="preserve"> </w:t>
      </w:r>
    </w:p>
    <w:p w:rsidR="00651896" w:rsidRDefault="00651896" w:rsidP="00651896"/>
    <w:p w:rsidR="001503EB" w:rsidRDefault="001503EB" w:rsidP="001503EB">
      <w:pPr>
        <w:pStyle w:val="Heading2"/>
      </w:pPr>
      <w:bookmarkStart w:id="33" w:name="_Toc394057524"/>
      <w:r>
        <w:t>Key findings</w:t>
      </w:r>
      <w:bookmarkEnd w:id="33"/>
    </w:p>
    <w:p w:rsidR="00F861C6" w:rsidRDefault="00F861C6" w:rsidP="00F861C6">
      <w:pPr>
        <w:pStyle w:val="BodyText"/>
      </w:pPr>
      <w:r>
        <w:t>More than a fifth of employers (22%) reported an increase in the number of staff employed at their site during the last 12 months.</w:t>
      </w:r>
    </w:p>
    <w:p w:rsidR="00F861C6" w:rsidRDefault="00F861C6" w:rsidP="00F861C6">
      <w:pPr>
        <w:pStyle w:val="BodyText"/>
      </w:pPr>
      <w:r>
        <w:t>Around one in ten (9%) reported a decrease in staff numbers, with the remainder (68% of all employers) reporting no change in workforce size in the last 12 months.</w:t>
      </w:r>
    </w:p>
    <w:p w:rsidR="00F861C6" w:rsidRDefault="00554699" w:rsidP="00F861C6">
      <w:pPr>
        <w:pStyle w:val="BodyText"/>
      </w:pPr>
      <w:r>
        <w:t>Two-thirds of employers (65%) report an increase in any financial measure, including profitability, turnover, sales and market share, in the last 12 months.  Most likely is an increase in turnover (55%), while least likely is an increase in market share (32%).</w:t>
      </w:r>
    </w:p>
    <w:p w:rsidR="00554699" w:rsidRDefault="00554699" w:rsidP="00554699">
      <w:pPr>
        <w:pStyle w:val="BodyText"/>
      </w:pPr>
      <w:r>
        <w:t xml:space="preserve">Over the next 12 months, 27% of all employers anticipate an increase in the number of staff employed at their site.   This contrasts with just 3% of those that anticipate a decrease.  </w:t>
      </w:r>
    </w:p>
    <w:p w:rsidR="00554699" w:rsidRDefault="00554699" w:rsidP="00554699">
      <w:pPr>
        <w:pStyle w:val="BodyText"/>
      </w:pPr>
      <w:r>
        <w:t>Two-thirds of employers (68%) do not expect the size of their workforce to change in the next 12 months.</w:t>
      </w:r>
    </w:p>
    <w:p w:rsidR="00554699" w:rsidRDefault="00554699" w:rsidP="00554699">
      <w:pPr>
        <w:pStyle w:val="BodyText"/>
      </w:pPr>
      <w:r>
        <w:t xml:space="preserve">In terms of anticipated changes in business performance amongst private sector organisations, over the next 12 months, nearly three-quarters (72%) expect an increase in any financial measure including turnover, profitability, market share or sales.  Around two-thirds anticipate an increase in turnover (66%) and/or profitability (65%) in the </w:t>
      </w:r>
      <w:r w:rsidR="00694E1D">
        <w:t>next</w:t>
      </w:r>
      <w:r>
        <w:t xml:space="preserve"> 12 months.   Fewer anticipate an increase in market share (46%), although this proportion is higher than that reported with regard to increasing market share in the </w:t>
      </w:r>
      <w:r w:rsidR="00694E1D">
        <w:t>next</w:t>
      </w:r>
      <w:r>
        <w:t xml:space="preserve"> 12 months.</w:t>
      </w:r>
    </w:p>
    <w:p w:rsidR="00554699" w:rsidRDefault="006A45DC" w:rsidP="00F861C6">
      <w:pPr>
        <w:pStyle w:val="BodyText"/>
      </w:pPr>
      <w:r>
        <w:t>Half of all private sector employers (49%) have a formal written business plan and in most cases this is kept up to date (43% of all private sector employers).</w:t>
      </w:r>
    </w:p>
    <w:p w:rsidR="006A45DC" w:rsidRDefault="006A45DC" w:rsidP="00F861C6">
      <w:pPr>
        <w:pStyle w:val="BodyText"/>
      </w:pPr>
      <w:r>
        <w:t>Around two-fifths of private sector employers (38%) have introduced new or significantly improved products or services in the last 12 months. For the majority (77% of these employers) these were new to the busi</w:t>
      </w:r>
      <w:r w:rsidR="00694E1D">
        <w:t>ness rather than being complete</w:t>
      </w:r>
      <w:r>
        <w:t>ly new.</w:t>
      </w:r>
    </w:p>
    <w:p w:rsidR="006A45DC" w:rsidRDefault="006A45DC" w:rsidP="00F861C6">
      <w:pPr>
        <w:pStyle w:val="BodyText"/>
      </w:pPr>
      <w:r>
        <w:t xml:space="preserve">A third of all private sector employers (34%) have introduced new or improved processes in the last 12 months.  Again, the majority (83%) report these new processes as new to the business but not completely new. </w:t>
      </w:r>
    </w:p>
    <w:p w:rsidR="006A45DC" w:rsidRDefault="00A23C82" w:rsidP="00F861C6">
      <w:pPr>
        <w:pStyle w:val="BodyText"/>
      </w:pPr>
      <w:r>
        <w:t>A quarter of private sector employers (27%) have a formal R &amp; D function to support innovation.   Just over half of all private sector employers (54%) innovate on an ad hoc basis rather than with the assistance of a permanent R &amp; D function.</w:t>
      </w:r>
    </w:p>
    <w:p w:rsidR="00A23C82" w:rsidRDefault="00CF03EA" w:rsidP="00F861C6">
      <w:pPr>
        <w:pStyle w:val="BodyText"/>
      </w:pPr>
      <w:r>
        <w:t>More than half of employers that have introduced new or improved products (59%) have collaborated with others outside of their organisation in developing their ideas.</w:t>
      </w:r>
    </w:p>
    <w:p w:rsidR="00CF03EA" w:rsidRDefault="00CF03EA" w:rsidP="00F861C6">
      <w:pPr>
        <w:pStyle w:val="BodyText"/>
      </w:pPr>
      <w:r>
        <w:t>Other businesses are key collaborators as the majority of businesses that do collaborate with others choose these as partners.</w:t>
      </w:r>
    </w:p>
    <w:p w:rsidR="00CF03EA" w:rsidRDefault="00CF03EA" w:rsidP="00F861C6">
      <w:pPr>
        <w:pStyle w:val="BodyText"/>
      </w:pPr>
      <w:r>
        <w:t>Having suitable, low cost premises is considered significantly beneficial by more than half of all employers.  Access to funding and the availability of highly skilled labour or other skills the business needs a</w:t>
      </w:r>
      <w:r w:rsidR="00860E90">
        <w:t>s well as</w:t>
      </w:r>
      <w:r>
        <w:t xml:space="preserve"> local training</w:t>
      </w:r>
      <w:r w:rsidR="00860E90">
        <w:t>,</w:t>
      </w:r>
      <w:r>
        <w:t xml:space="preserve"> are also considered to be important by more than half the employers.</w:t>
      </w:r>
    </w:p>
    <w:p w:rsidR="00860E90" w:rsidRDefault="00860E90" w:rsidP="00F861C6">
      <w:pPr>
        <w:pStyle w:val="BodyText"/>
      </w:pPr>
      <w:r>
        <w:lastRenderedPageBreak/>
        <w:t>The top four potential sources of support or advice include: the county council/district council; accountants; web based business advice and internal sources; such as a head office.</w:t>
      </w:r>
    </w:p>
    <w:p w:rsidR="00860E90" w:rsidRDefault="004F7B40" w:rsidP="00F861C6">
      <w:pPr>
        <w:pStyle w:val="BodyText"/>
      </w:pPr>
      <w:r>
        <w:t>Poor transport infrastructure is cited by 30% of private sector employers as an obstacle to business growth, while one in four employers cited a lack of capital for investment and/or poor cash flow.</w:t>
      </w:r>
    </w:p>
    <w:p w:rsidR="001503EB" w:rsidRDefault="001503EB" w:rsidP="001503EB">
      <w:pPr>
        <w:pStyle w:val="Heading2"/>
      </w:pPr>
      <w:bookmarkStart w:id="34" w:name="_Toc394057525"/>
      <w:r>
        <w:t>Recent growth</w:t>
      </w:r>
      <w:bookmarkEnd w:id="34"/>
    </w:p>
    <w:p w:rsidR="001503EB" w:rsidRDefault="001503EB" w:rsidP="001503EB">
      <w:pPr>
        <w:pStyle w:val="Heading3"/>
      </w:pPr>
      <w:bookmarkStart w:id="35" w:name="_Toc394057526"/>
      <w:r>
        <w:t>Employment</w:t>
      </w:r>
      <w:bookmarkEnd w:id="35"/>
    </w:p>
    <w:p w:rsidR="006056DB" w:rsidRDefault="00E13701" w:rsidP="001503EB">
      <w:pPr>
        <w:pStyle w:val="BodyText"/>
      </w:pPr>
      <w:r>
        <w:t>More than a fifth of employers (22%) reported an increase in the number of staff employed at their site during the last 12 months.</w:t>
      </w:r>
    </w:p>
    <w:p w:rsidR="00E13701" w:rsidRDefault="00E13701" w:rsidP="001503EB">
      <w:pPr>
        <w:pStyle w:val="BodyText"/>
      </w:pPr>
      <w:r>
        <w:t>Around one in ten (9%) reported a decrease in staff numbers, with the remainder (68% of all employers) reporting no change in workforce size in the last 12 months.</w:t>
      </w:r>
    </w:p>
    <w:p w:rsidR="00E13701" w:rsidRDefault="00E13701" w:rsidP="001503EB">
      <w:pPr>
        <w:pStyle w:val="BodyText"/>
      </w:pPr>
      <w:r>
        <w:t xml:space="preserve">Employers with fewer than 10 staff are the most stable in terms of </w:t>
      </w:r>
      <w:r w:rsidR="009361DD">
        <w:t>workforce size, with three-quarters (74%) reporting no change.  The proportion of employers reporting an increase in staff numbers increases from 16% of employers with fewer than 10 staff to 37% of employers with 10 to 99 staff to 46% of those with 100 or more staff.  The larger the workforce the less impact additional staff members will have on day to day operations</w:t>
      </w:r>
      <w:r w:rsidR="003E2733">
        <w:t xml:space="preserve"> and overall costs</w:t>
      </w:r>
      <w:r w:rsidR="009361DD">
        <w:t>.</w:t>
      </w:r>
      <w:r w:rsidR="0032478B">
        <w:t xml:space="preserve">  There is also likely to be greater fluctuation in staff numbers where there are higher numbers of employees.</w:t>
      </w:r>
      <w:r w:rsidR="003E2733">
        <w:t xml:space="preserve"> </w:t>
      </w:r>
    </w:p>
    <w:p w:rsidR="008E6C7B" w:rsidRDefault="008E6C7B" w:rsidP="008E6C7B">
      <w:pPr>
        <w:pStyle w:val="Caption"/>
      </w:pPr>
      <w:r>
        <w:t xml:space="preserve">Table 5.1:  Employment growth in the last 12 months, by employer size (all </w:t>
      </w:r>
      <w:r w:rsidR="00E3671E">
        <w:t>employers</w:t>
      </w:r>
      <w:r>
        <w:t>)</w:t>
      </w:r>
    </w:p>
    <w:tbl>
      <w:tblPr>
        <w:tblStyle w:val="LightList-Accent6"/>
        <w:tblW w:w="10591" w:type="dxa"/>
        <w:tblInd w:w="-459" w:type="dxa"/>
        <w:tblLook w:val="04A0" w:firstRow="1" w:lastRow="0" w:firstColumn="1" w:lastColumn="0" w:noHBand="0" w:noVBand="1"/>
      </w:tblPr>
      <w:tblGrid>
        <w:gridCol w:w="2127"/>
        <w:gridCol w:w="1524"/>
        <w:gridCol w:w="1524"/>
        <w:gridCol w:w="1354"/>
        <w:gridCol w:w="1354"/>
        <w:gridCol w:w="1354"/>
        <w:gridCol w:w="1354"/>
      </w:tblGrid>
      <w:tr w:rsidR="008E6C7B" w:rsidRPr="003C0922" w:rsidTr="00E05408">
        <w:trPr>
          <w:cnfStyle w:val="100000000000" w:firstRow="1" w:lastRow="0" w:firstColumn="0" w:lastColumn="0" w:oddVBand="0" w:evenVBand="0" w:oddHBand="0" w:evenHBand="0" w:firstRowFirstColumn="0" w:firstRowLastColumn="0" w:lastRowFirstColumn="0" w:lastRowLastColumn="0"/>
          <w:cantSplit/>
          <w:trHeight w:val="668"/>
        </w:trPr>
        <w:tc>
          <w:tcPr>
            <w:cnfStyle w:val="001000000000" w:firstRow="0" w:lastRow="0" w:firstColumn="1" w:lastColumn="0" w:oddVBand="0" w:evenVBand="0" w:oddHBand="0" w:evenHBand="0" w:firstRowFirstColumn="0" w:firstRowLastColumn="0" w:lastRowFirstColumn="0" w:lastRowLastColumn="0"/>
            <w:tcW w:w="2127" w:type="dxa"/>
            <w:vAlign w:val="center"/>
          </w:tcPr>
          <w:p w:rsidR="008E6C7B" w:rsidRPr="003C0922" w:rsidRDefault="008E6C7B" w:rsidP="00E05408">
            <w:pPr>
              <w:spacing w:before="60" w:after="60"/>
              <w:rPr>
                <w:rFonts w:cstheme="minorHAnsi"/>
                <w:b w:val="0"/>
                <w:sz w:val="20"/>
              </w:rPr>
            </w:pPr>
          </w:p>
        </w:tc>
        <w:tc>
          <w:tcPr>
            <w:tcW w:w="1524" w:type="dxa"/>
            <w:vAlign w:val="center"/>
          </w:tcPr>
          <w:p w:rsidR="008E6C7B" w:rsidRPr="00E00A33" w:rsidRDefault="008E6C7B"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Greater Lincolnshire</w:t>
            </w:r>
          </w:p>
        </w:tc>
        <w:tc>
          <w:tcPr>
            <w:tcW w:w="1524" w:type="dxa"/>
            <w:tcBorders>
              <w:bottom w:val="single" w:sz="8" w:space="0" w:color="73A5D8" w:themeColor="accent6"/>
            </w:tcBorders>
            <w:vAlign w:val="center"/>
          </w:tcPr>
          <w:p w:rsidR="008E6C7B" w:rsidRPr="00E00A33" w:rsidRDefault="008E6C7B"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Lincolnshire county</w:t>
            </w:r>
          </w:p>
        </w:tc>
        <w:tc>
          <w:tcPr>
            <w:tcW w:w="1354" w:type="dxa"/>
            <w:tcBorders>
              <w:bottom w:val="single" w:sz="8" w:space="0" w:color="73A5D8" w:themeColor="accent6"/>
            </w:tcBorders>
            <w:vAlign w:val="center"/>
          </w:tcPr>
          <w:p w:rsidR="008E6C7B" w:rsidRPr="00E00A33" w:rsidRDefault="008E6C7B"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2-9 employees</w:t>
            </w:r>
          </w:p>
        </w:tc>
        <w:tc>
          <w:tcPr>
            <w:tcW w:w="1354" w:type="dxa"/>
            <w:tcBorders>
              <w:bottom w:val="single" w:sz="8" w:space="0" w:color="73A5D8" w:themeColor="accent6"/>
            </w:tcBorders>
            <w:vAlign w:val="center"/>
          </w:tcPr>
          <w:p w:rsidR="008E6C7B" w:rsidRPr="00E00A33" w:rsidRDefault="008E6C7B"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10-24 employees</w:t>
            </w:r>
          </w:p>
        </w:tc>
        <w:tc>
          <w:tcPr>
            <w:tcW w:w="1354" w:type="dxa"/>
            <w:tcBorders>
              <w:bottom w:val="single" w:sz="8" w:space="0" w:color="73A5D8" w:themeColor="accent6"/>
            </w:tcBorders>
            <w:vAlign w:val="center"/>
          </w:tcPr>
          <w:p w:rsidR="008E6C7B" w:rsidRPr="00E00A33" w:rsidRDefault="008E6C7B"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25-99 employees</w:t>
            </w:r>
          </w:p>
        </w:tc>
        <w:tc>
          <w:tcPr>
            <w:tcW w:w="1354" w:type="dxa"/>
            <w:tcBorders>
              <w:bottom w:val="single" w:sz="8" w:space="0" w:color="73A5D8" w:themeColor="accent6"/>
            </w:tcBorders>
            <w:vAlign w:val="center"/>
          </w:tcPr>
          <w:p w:rsidR="008E6C7B" w:rsidRPr="00E00A33" w:rsidRDefault="008E6C7B"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E00A33">
              <w:rPr>
                <w:rFonts w:cstheme="minorHAnsi"/>
              </w:rPr>
              <w:t>100+ employees</w:t>
            </w:r>
          </w:p>
        </w:tc>
      </w:tr>
      <w:tr w:rsidR="008E6C7B" w:rsidTr="00E05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8E6C7B" w:rsidRPr="003C0922" w:rsidRDefault="008E6C7B" w:rsidP="0082125A">
            <w:pPr>
              <w:spacing w:before="40" w:after="40"/>
              <w:rPr>
                <w:rFonts w:cstheme="minorHAnsi"/>
                <w:b w:val="0"/>
                <w:color w:val="000000"/>
                <w:sz w:val="20"/>
              </w:rPr>
            </w:pPr>
            <w:r>
              <w:rPr>
                <w:rFonts w:cstheme="minorHAnsi"/>
                <w:b w:val="0"/>
                <w:color w:val="000000"/>
                <w:sz w:val="20"/>
              </w:rPr>
              <w:t>Increase</w:t>
            </w:r>
          </w:p>
        </w:tc>
        <w:tc>
          <w:tcPr>
            <w:tcW w:w="1524" w:type="dxa"/>
            <w:tcBorders>
              <w:right w:val="single" w:sz="8" w:space="0" w:color="73A5D8" w:themeColor="accent6"/>
            </w:tcBorders>
            <w:vAlign w:val="center"/>
          </w:tcPr>
          <w:p w:rsidR="008E6C7B" w:rsidRPr="003C0922"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22</w:t>
            </w:r>
          </w:p>
        </w:tc>
        <w:tc>
          <w:tcPr>
            <w:tcW w:w="1524" w:type="dxa"/>
            <w:tcBorders>
              <w:left w:val="single" w:sz="8" w:space="0" w:color="73A5D8" w:themeColor="accent6"/>
              <w:right w:val="single" w:sz="8" w:space="0" w:color="73A5D8" w:themeColor="accent6"/>
            </w:tcBorders>
            <w:vAlign w:val="center"/>
          </w:tcPr>
          <w:p w:rsidR="008E6C7B" w:rsidRPr="00441F2C"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22</w:t>
            </w:r>
          </w:p>
        </w:tc>
        <w:tc>
          <w:tcPr>
            <w:tcW w:w="1354" w:type="dxa"/>
            <w:tcBorders>
              <w:left w:val="single" w:sz="8" w:space="0" w:color="73A5D8" w:themeColor="accent6"/>
              <w:right w:val="single" w:sz="8" w:space="0" w:color="73A5D8" w:themeColor="accent6"/>
            </w:tcBorders>
            <w:vAlign w:val="center"/>
          </w:tcPr>
          <w:p w:rsidR="008E6C7B" w:rsidRPr="00441F2C"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16</w:t>
            </w:r>
          </w:p>
        </w:tc>
        <w:tc>
          <w:tcPr>
            <w:tcW w:w="1354" w:type="dxa"/>
            <w:tcBorders>
              <w:left w:val="single" w:sz="8" w:space="0" w:color="73A5D8" w:themeColor="accent6"/>
              <w:right w:val="single" w:sz="8" w:space="0" w:color="73A5D8" w:themeColor="accent6"/>
            </w:tcBorders>
            <w:vAlign w:val="center"/>
          </w:tcPr>
          <w:p w:rsidR="008E6C7B" w:rsidRPr="00441F2C"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36</w:t>
            </w:r>
          </w:p>
        </w:tc>
        <w:tc>
          <w:tcPr>
            <w:tcW w:w="1354" w:type="dxa"/>
            <w:tcBorders>
              <w:left w:val="single" w:sz="8" w:space="0" w:color="73A5D8" w:themeColor="accent6"/>
              <w:right w:val="single" w:sz="8" w:space="0" w:color="73A5D8" w:themeColor="accent6"/>
            </w:tcBorders>
            <w:vAlign w:val="center"/>
          </w:tcPr>
          <w:p w:rsidR="008E6C7B" w:rsidRPr="006C0EB2"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39</w:t>
            </w:r>
          </w:p>
        </w:tc>
        <w:tc>
          <w:tcPr>
            <w:tcW w:w="1354" w:type="dxa"/>
            <w:tcBorders>
              <w:left w:val="single" w:sz="8" w:space="0" w:color="73A5D8" w:themeColor="accent6"/>
            </w:tcBorders>
            <w:vAlign w:val="center"/>
          </w:tcPr>
          <w:p w:rsidR="008E6C7B" w:rsidRPr="008E6C7B"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E6C7B">
              <w:rPr>
                <w:rFonts w:cstheme="minorHAnsi"/>
                <w:b/>
                <w:color w:val="000000"/>
              </w:rPr>
              <w:t>46</w:t>
            </w:r>
          </w:p>
        </w:tc>
      </w:tr>
      <w:tr w:rsidR="008E6C7B" w:rsidTr="00E05408">
        <w:tc>
          <w:tcPr>
            <w:cnfStyle w:val="001000000000" w:firstRow="0" w:lastRow="0" w:firstColumn="1" w:lastColumn="0" w:oddVBand="0" w:evenVBand="0" w:oddHBand="0" w:evenHBand="0" w:firstRowFirstColumn="0" w:firstRowLastColumn="0" w:lastRowFirstColumn="0" w:lastRowLastColumn="0"/>
            <w:tcW w:w="2127" w:type="dxa"/>
            <w:vAlign w:val="center"/>
          </w:tcPr>
          <w:p w:rsidR="008E6C7B" w:rsidRPr="003C0922" w:rsidRDefault="008E6C7B" w:rsidP="0082125A">
            <w:pPr>
              <w:spacing w:before="40" w:after="40"/>
              <w:rPr>
                <w:rFonts w:cstheme="minorHAnsi"/>
                <w:b w:val="0"/>
                <w:color w:val="000000"/>
                <w:sz w:val="20"/>
              </w:rPr>
            </w:pPr>
            <w:r>
              <w:rPr>
                <w:rFonts w:cstheme="minorHAnsi"/>
                <w:b w:val="0"/>
                <w:color w:val="000000"/>
                <w:sz w:val="20"/>
              </w:rPr>
              <w:t>Decrease</w:t>
            </w:r>
          </w:p>
        </w:tc>
        <w:tc>
          <w:tcPr>
            <w:tcW w:w="1524" w:type="dxa"/>
            <w:tcBorders>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w:t>
            </w:r>
          </w:p>
        </w:tc>
        <w:tc>
          <w:tcPr>
            <w:tcW w:w="152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441F2C"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E6C7B">
              <w:rPr>
                <w:rFonts w:cstheme="minorHAnsi"/>
                <w:color w:val="000000"/>
              </w:rPr>
              <w:t>9</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E6C7B">
              <w:rPr>
                <w:rFonts w:cstheme="minorHAnsi"/>
                <w:color w:val="000000"/>
              </w:rPr>
              <w:t>11</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E6C7B">
              <w:rPr>
                <w:rFonts w:cstheme="minorHAnsi"/>
                <w:color w:val="000000"/>
              </w:rPr>
              <w:t>7</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E6C7B">
              <w:rPr>
                <w:rFonts w:cstheme="minorHAnsi"/>
                <w:color w:val="000000"/>
              </w:rPr>
              <w:t>15</w:t>
            </w:r>
          </w:p>
        </w:tc>
      </w:tr>
      <w:tr w:rsidR="008E6C7B" w:rsidTr="00E05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8E6C7B" w:rsidRPr="003C0922" w:rsidRDefault="008E6C7B" w:rsidP="0082125A">
            <w:pPr>
              <w:spacing w:before="40" w:after="40"/>
              <w:rPr>
                <w:rFonts w:cstheme="minorHAnsi"/>
                <w:b w:val="0"/>
                <w:color w:val="000000"/>
                <w:sz w:val="20"/>
              </w:rPr>
            </w:pPr>
            <w:r>
              <w:rPr>
                <w:rFonts w:cstheme="minorHAnsi"/>
                <w:b w:val="0"/>
                <w:color w:val="000000"/>
                <w:sz w:val="20"/>
              </w:rPr>
              <w:t>No change</w:t>
            </w:r>
          </w:p>
        </w:tc>
        <w:tc>
          <w:tcPr>
            <w:tcW w:w="1524" w:type="dxa"/>
            <w:tcBorders>
              <w:right w:val="single" w:sz="8" w:space="0" w:color="73A5D8" w:themeColor="accent6"/>
            </w:tcBorders>
            <w:vAlign w:val="center"/>
          </w:tcPr>
          <w:p w:rsidR="008E6C7B" w:rsidRPr="003C0922"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68</w:t>
            </w:r>
          </w:p>
        </w:tc>
        <w:tc>
          <w:tcPr>
            <w:tcW w:w="1524" w:type="dxa"/>
            <w:tcBorders>
              <w:left w:val="single" w:sz="8" w:space="0" w:color="73A5D8" w:themeColor="accent6"/>
              <w:right w:val="single" w:sz="8" w:space="0" w:color="73A5D8" w:themeColor="accent6"/>
            </w:tcBorders>
            <w:vAlign w:val="center"/>
          </w:tcPr>
          <w:p w:rsidR="008E6C7B" w:rsidRPr="00441F2C"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68</w:t>
            </w:r>
          </w:p>
        </w:tc>
        <w:tc>
          <w:tcPr>
            <w:tcW w:w="1354" w:type="dxa"/>
            <w:tcBorders>
              <w:left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E6C7B">
              <w:rPr>
                <w:rFonts w:cstheme="minorHAnsi"/>
                <w:b/>
                <w:color w:val="000000"/>
              </w:rPr>
              <w:t>74</w:t>
            </w:r>
          </w:p>
        </w:tc>
        <w:tc>
          <w:tcPr>
            <w:tcW w:w="1354" w:type="dxa"/>
            <w:tcBorders>
              <w:left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E6C7B">
              <w:rPr>
                <w:rFonts w:cstheme="minorHAnsi"/>
                <w:i/>
                <w:color w:val="000000"/>
              </w:rPr>
              <w:t>52</w:t>
            </w:r>
          </w:p>
        </w:tc>
        <w:tc>
          <w:tcPr>
            <w:tcW w:w="1354" w:type="dxa"/>
            <w:tcBorders>
              <w:left w:val="single" w:sz="8" w:space="0" w:color="73A5D8" w:themeColor="accent6"/>
              <w:right w:val="single" w:sz="8" w:space="0" w:color="73A5D8" w:themeColor="accent6"/>
            </w:tcBorders>
            <w:vAlign w:val="center"/>
          </w:tcPr>
          <w:p w:rsidR="008E6C7B" w:rsidRPr="008E6C7B"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E6C7B">
              <w:rPr>
                <w:rFonts w:cstheme="minorHAnsi"/>
                <w:i/>
                <w:color w:val="000000"/>
              </w:rPr>
              <w:t>53</w:t>
            </w:r>
          </w:p>
        </w:tc>
        <w:tc>
          <w:tcPr>
            <w:tcW w:w="1354" w:type="dxa"/>
            <w:tcBorders>
              <w:left w:val="single" w:sz="8" w:space="0" w:color="73A5D8" w:themeColor="accent6"/>
            </w:tcBorders>
            <w:vAlign w:val="center"/>
          </w:tcPr>
          <w:p w:rsidR="008E6C7B" w:rsidRPr="008E6C7B" w:rsidRDefault="008E6C7B"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E6C7B">
              <w:rPr>
                <w:rFonts w:cstheme="minorHAnsi"/>
                <w:i/>
                <w:color w:val="000000"/>
              </w:rPr>
              <w:t>39</w:t>
            </w:r>
          </w:p>
        </w:tc>
      </w:tr>
      <w:tr w:rsidR="008E6C7B" w:rsidRPr="003C0922" w:rsidTr="00E05408">
        <w:tc>
          <w:tcPr>
            <w:cnfStyle w:val="001000000000" w:firstRow="0" w:lastRow="0" w:firstColumn="1" w:lastColumn="0" w:oddVBand="0" w:evenVBand="0" w:oddHBand="0" w:evenHBand="0" w:firstRowFirstColumn="0" w:firstRowLastColumn="0" w:lastRowFirstColumn="0" w:lastRowLastColumn="0"/>
            <w:tcW w:w="2127" w:type="dxa"/>
            <w:vAlign w:val="center"/>
          </w:tcPr>
          <w:p w:rsidR="008E6C7B" w:rsidRPr="003C0922" w:rsidRDefault="008E6C7B" w:rsidP="0082125A">
            <w:pPr>
              <w:spacing w:before="40" w:after="4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524" w:type="dxa"/>
            <w:tcBorders>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1515</w:t>
            </w:r>
          </w:p>
        </w:tc>
        <w:tc>
          <w:tcPr>
            <w:tcW w:w="1524" w:type="dxa"/>
            <w:tcBorders>
              <w:left w:val="single" w:sz="8" w:space="0" w:color="73A5D8" w:themeColor="accent6"/>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1141</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1018</w:t>
            </w:r>
          </w:p>
        </w:tc>
        <w:tc>
          <w:tcPr>
            <w:tcW w:w="1354" w:type="dxa"/>
            <w:tcBorders>
              <w:left w:val="single" w:sz="8" w:space="0" w:color="73A5D8" w:themeColor="accent6"/>
              <w:bottom w:val="single" w:sz="8" w:space="0" w:color="73A5D8" w:themeColor="accent6"/>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307</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w:t>
            </w:r>
          </w:p>
        </w:tc>
        <w:tc>
          <w:tcPr>
            <w:tcW w:w="1354" w:type="dxa"/>
            <w:tcBorders>
              <w:left w:val="single" w:sz="8" w:space="0" w:color="73A5D8" w:themeColor="accent6"/>
              <w:bottom w:val="single" w:sz="8" w:space="0" w:color="73A5D8" w:themeColor="accent6"/>
              <w:right w:val="single" w:sz="8" w:space="0" w:color="73A5D8" w:themeColor="accent6"/>
            </w:tcBorders>
            <w:vAlign w:val="center"/>
          </w:tcPr>
          <w:p w:rsidR="008E6C7B" w:rsidRPr="003C0922" w:rsidRDefault="008E6C7B"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39</w:t>
            </w:r>
          </w:p>
        </w:tc>
      </w:tr>
    </w:tbl>
    <w:p w:rsidR="008E6C7B" w:rsidRDefault="008E6C7B" w:rsidP="008E6C7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9361DD" w:rsidRDefault="00CF0CDD" w:rsidP="001503EB">
      <w:pPr>
        <w:pStyle w:val="BodyText"/>
      </w:pPr>
      <w:r>
        <w:t>There is little significant difference in employment change by district and sector differences are likely to reflect those of workforce size.</w:t>
      </w:r>
      <w:r w:rsidR="006D6649">
        <w:t xml:space="preserve">  Thus two sectors where there is a particularly high proportion of employers with fewer than 5 staff – agriculture/fishing and other services – are less likely than average to report an increase in the number of staff employed in the last 12 months (11% and 19% respectively), while in public admin</w:t>
      </w:r>
      <w:r w:rsidR="007C140E">
        <w:t>istration</w:t>
      </w:r>
      <w:r w:rsidR="006D6649">
        <w:t xml:space="preserve">/education/health and manufacturing, where there are a greater than average proportion of large employers, 28% of employers report an increase in employment. </w:t>
      </w:r>
    </w:p>
    <w:p w:rsidR="006D6649" w:rsidRDefault="00EA3B25" w:rsidP="001503EB">
      <w:pPr>
        <w:pStyle w:val="BodyText"/>
      </w:pPr>
      <w:r>
        <w:t>Where employers report any positive change in business performance in terms of profitability, turnover, market share and sales</w:t>
      </w:r>
      <w:r w:rsidR="00FB6CC5">
        <w:t xml:space="preserve">, they are significantly more likely than average to report an increase in the number of staff employed (29%) and this is also true of those </w:t>
      </w:r>
      <w:r w:rsidR="008E6C7B">
        <w:t>who</w:t>
      </w:r>
      <w:r w:rsidR="00FB6CC5">
        <w:t xml:space="preserve"> anticipate </w:t>
      </w:r>
      <w:r w:rsidR="006E670B">
        <w:t xml:space="preserve">improvements in business performance in the next 12 months (27%). </w:t>
      </w:r>
      <w:r>
        <w:t xml:space="preserve">  </w:t>
      </w:r>
    </w:p>
    <w:p w:rsidR="001503EB" w:rsidRDefault="00206CE3" w:rsidP="001503EB">
      <w:pPr>
        <w:pStyle w:val="Heading3"/>
      </w:pPr>
      <w:bookmarkStart w:id="36" w:name="_Toc394057527"/>
      <w:r>
        <w:lastRenderedPageBreak/>
        <w:t>Business performance</w:t>
      </w:r>
      <w:bookmarkEnd w:id="36"/>
    </w:p>
    <w:p w:rsidR="00DA111A" w:rsidRDefault="00FF5801" w:rsidP="00206CE3">
      <w:pPr>
        <w:pStyle w:val="BodyText"/>
      </w:pPr>
      <w:r>
        <w:t xml:space="preserve">Looking at recent changes in business performance amongst private sector organisations, over the last 12 months, two-thirds (65%) report an increase in any financial measure including turnover, profitability, market share or sales. </w:t>
      </w:r>
      <w:r w:rsidR="00DA111A">
        <w:t xml:space="preserve"> This increases to 85% of employers that report employment growth in that period. </w:t>
      </w:r>
    </w:p>
    <w:p w:rsidR="00206CE3" w:rsidRDefault="00FF5801" w:rsidP="00206CE3">
      <w:pPr>
        <w:pStyle w:val="BodyText"/>
      </w:pPr>
      <w:r>
        <w:t xml:space="preserve">Around half report an increase in turnover (55%) and/or profitability (51%) in the last 12 months.  </w:t>
      </w:r>
      <w:r w:rsidR="00DA111A">
        <w:t xml:space="preserve"> Fewer report an increase in domestic sales (40%) and/or market share (32%), while </w:t>
      </w:r>
      <w:r w:rsidR="00A82595">
        <w:t>more than half of those that export (55%) report an increase in overseas sales.</w:t>
      </w:r>
    </w:p>
    <w:p w:rsidR="00011571" w:rsidRDefault="00011571" w:rsidP="00011571">
      <w:pPr>
        <w:pStyle w:val="Caption"/>
      </w:pPr>
      <w:r>
        <w:t>Figure 5.</w:t>
      </w:r>
      <w:r w:rsidR="00CC2676">
        <w:t>2</w:t>
      </w:r>
      <w:r>
        <w:t xml:space="preserve">:   Proportion of employers that have experienced increases in financial performance measures in the last 12 months (all private sector employers) </w:t>
      </w:r>
    </w:p>
    <w:p w:rsidR="00011571" w:rsidRDefault="00DB335C" w:rsidP="00011571">
      <w:pPr>
        <w:pStyle w:val="Caption"/>
      </w:pPr>
      <w:r w:rsidRPr="00DB335C">
        <w:rPr>
          <w:noProof/>
          <w:lang w:eastAsia="en-GB"/>
        </w:rPr>
        <w:drawing>
          <wp:inline distT="0" distB="0" distL="0" distR="0">
            <wp:extent cx="5781675" cy="340995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1571" w:rsidRDefault="00011571" w:rsidP="00011571">
      <w:pPr>
        <w:pStyle w:val="BodyText"/>
        <w:rPr>
          <w:rFonts w:cs="Arial"/>
          <w:sz w:val="18"/>
        </w:rPr>
      </w:pPr>
      <w:r>
        <w:rPr>
          <w:rFonts w:cs="Arial"/>
          <w:sz w:val="18"/>
        </w:rPr>
        <w:t>Unweighted sample base = 1466</w:t>
      </w:r>
      <w:r w:rsidR="00384978">
        <w:rPr>
          <w:rFonts w:cs="Arial"/>
          <w:sz w:val="18"/>
        </w:rPr>
        <w:t xml:space="preserve">     *Unweighted sample base (where export) = 197</w:t>
      </w:r>
    </w:p>
    <w:p w:rsidR="00011571" w:rsidRPr="0073300F" w:rsidRDefault="00011571" w:rsidP="00011571">
      <w:pPr>
        <w:pStyle w:val="BodyText"/>
        <w:rPr>
          <w:sz w:val="18"/>
        </w:rPr>
      </w:pPr>
      <w:r>
        <w:rPr>
          <w:rFonts w:cs="Arial"/>
          <w:sz w:val="18"/>
        </w:rPr>
        <w:t>QE2</w:t>
      </w:r>
      <w:r w:rsidRPr="0073300F">
        <w:rPr>
          <w:rFonts w:cs="Arial"/>
          <w:sz w:val="18"/>
        </w:rPr>
        <w:t xml:space="preserve">.  </w:t>
      </w:r>
      <w:r>
        <w:rPr>
          <w:rFonts w:cs="Arial"/>
          <w:sz w:val="18"/>
        </w:rPr>
        <w:t>Over the last 12 months, has your company experienced increases in any of the following?</w:t>
      </w:r>
    </w:p>
    <w:p w:rsidR="00011571" w:rsidRDefault="00A54363" w:rsidP="00206CE3">
      <w:pPr>
        <w:pStyle w:val="BodyText"/>
      </w:pPr>
      <w:r>
        <w:t>While the propensity for employment growth increases with employer size, the likelihood of any increase in turnover, profitability, market share or sales is greatest within businesses with between 10 and 99 staff.  This suggests that these businesses, at their current size, are in a particularly dynamic phase of their lifecycle.</w:t>
      </w:r>
    </w:p>
    <w:p w:rsidR="0082125A" w:rsidRDefault="0082125A">
      <w:pPr>
        <w:spacing w:after="360"/>
        <w:rPr>
          <w:b/>
          <w:bCs/>
          <w:szCs w:val="18"/>
        </w:rPr>
      </w:pPr>
      <w:r>
        <w:br w:type="page"/>
      </w:r>
    </w:p>
    <w:p w:rsidR="00A54363" w:rsidRDefault="00A54363" w:rsidP="00A54363">
      <w:pPr>
        <w:pStyle w:val="Caption"/>
      </w:pPr>
      <w:r>
        <w:lastRenderedPageBreak/>
        <w:t>Table 5.</w:t>
      </w:r>
      <w:r w:rsidR="00CC2676">
        <w:t>3</w:t>
      </w:r>
      <w:r>
        <w:t>:  Proportion of employers that have experienced increases in financial performance measures in the last 12 months, by employer size (all private sector employers)</w:t>
      </w:r>
    </w:p>
    <w:tbl>
      <w:tblPr>
        <w:tblStyle w:val="LightList-Accent6"/>
        <w:tblW w:w="10591" w:type="dxa"/>
        <w:tblInd w:w="-459" w:type="dxa"/>
        <w:tblLook w:val="04A0" w:firstRow="1" w:lastRow="0" w:firstColumn="1" w:lastColumn="0" w:noHBand="0" w:noVBand="1"/>
      </w:tblPr>
      <w:tblGrid>
        <w:gridCol w:w="2127"/>
        <w:gridCol w:w="1524"/>
        <w:gridCol w:w="1524"/>
        <w:gridCol w:w="1354"/>
        <w:gridCol w:w="1354"/>
        <w:gridCol w:w="1354"/>
        <w:gridCol w:w="1354"/>
      </w:tblGrid>
      <w:tr w:rsidR="00A54363" w:rsidRPr="003C0922" w:rsidTr="00E05408">
        <w:trPr>
          <w:cnfStyle w:val="100000000000" w:firstRow="1" w:lastRow="0" w:firstColumn="0" w:lastColumn="0" w:oddVBand="0" w:evenVBand="0" w:oddHBand="0" w:evenHBand="0" w:firstRowFirstColumn="0" w:firstRowLastColumn="0" w:lastRowFirstColumn="0" w:lastRowLastColumn="0"/>
          <w:cantSplit/>
          <w:trHeight w:val="66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A54363">
            <w:pPr>
              <w:spacing w:before="60" w:after="60"/>
              <w:rPr>
                <w:rFonts w:cstheme="minorHAnsi"/>
                <w:b w:val="0"/>
                <w:sz w:val="20"/>
              </w:rPr>
            </w:pPr>
          </w:p>
        </w:tc>
        <w:tc>
          <w:tcPr>
            <w:tcW w:w="1524" w:type="dxa"/>
            <w:vAlign w:val="center"/>
          </w:tcPr>
          <w:p w:rsidR="00A54363" w:rsidRPr="00554699" w:rsidRDefault="00A54363" w:rsidP="008E6C7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Greater Lincolnshire</w:t>
            </w:r>
          </w:p>
        </w:tc>
        <w:tc>
          <w:tcPr>
            <w:tcW w:w="1524" w:type="dxa"/>
            <w:tcBorders>
              <w:bottom w:val="single" w:sz="8" w:space="0" w:color="73A5D8" w:themeColor="accent6"/>
            </w:tcBorders>
            <w:vAlign w:val="center"/>
          </w:tcPr>
          <w:p w:rsidR="00A54363" w:rsidRPr="00554699" w:rsidRDefault="00A54363" w:rsidP="008E6C7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Lincolnshire county</w:t>
            </w:r>
          </w:p>
        </w:tc>
        <w:tc>
          <w:tcPr>
            <w:tcW w:w="1354" w:type="dxa"/>
            <w:tcBorders>
              <w:bottom w:val="single" w:sz="8" w:space="0" w:color="73A5D8" w:themeColor="accent6"/>
            </w:tcBorders>
            <w:vAlign w:val="center"/>
          </w:tcPr>
          <w:p w:rsidR="00A54363" w:rsidRPr="00554699" w:rsidRDefault="00A54363" w:rsidP="008E6C7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2-9 employees</w:t>
            </w:r>
          </w:p>
        </w:tc>
        <w:tc>
          <w:tcPr>
            <w:tcW w:w="1354" w:type="dxa"/>
            <w:tcBorders>
              <w:bottom w:val="single" w:sz="8" w:space="0" w:color="73A5D8" w:themeColor="accent6"/>
            </w:tcBorders>
            <w:vAlign w:val="center"/>
          </w:tcPr>
          <w:p w:rsidR="00A54363" w:rsidRPr="00554699" w:rsidRDefault="00A54363" w:rsidP="008E6C7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10-24 employees</w:t>
            </w:r>
          </w:p>
        </w:tc>
        <w:tc>
          <w:tcPr>
            <w:tcW w:w="1354" w:type="dxa"/>
            <w:tcBorders>
              <w:bottom w:val="single" w:sz="8" w:space="0" w:color="73A5D8" w:themeColor="accent6"/>
            </w:tcBorders>
            <w:vAlign w:val="center"/>
          </w:tcPr>
          <w:p w:rsidR="00A54363" w:rsidRPr="00554699" w:rsidRDefault="00A54363" w:rsidP="008E6C7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25-99 employees</w:t>
            </w:r>
          </w:p>
        </w:tc>
        <w:tc>
          <w:tcPr>
            <w:tcW w:w="1354" w:type="dxa"/>
            <w:tcBorders>
              <w:bottom w:val="single" w:sz="8" w:space="0" w:color="73A5D8" w:themeColor="accent6"/>
            </w:tcBorders>
            <w:vAlign w:val="center"/>
          </w:tcPr>
          <w:p w:rsidR="00A54363" w:rsidRPr="00554699" w:rsidRDefault="00A54363" w:rsidP="008E6C7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100+ employees</w:t>
            </w:r>
          </w:p>
        </w:tc>
      </w:tr>
      <w:tr w:rsidR="00A54363" w:rsidTr="0044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82125A">
            <w:pPr>
              <w:spacing w:before="40" w:after="40"/>
              <w:rPr>
                <w:rFonts w:cstheme="minorHAnsi"/>
                <w:b w:val="0"/>
                <w:color w:val="000000"/>
                <w:sz w:val="20"/>
              </w:rPr>
            </w:pPr>
            <w:r>
              <w:rPr>
                <w:rFonts w:cstheme="minorHAnsi"/>
                <w:b w:val="0"/>
                <w:color w:val="000000"/>
                <w:sz w:val="20"/>
              </w:rPr>
              <w:t>Profitability</w:t>
            </w:r>
          </w:p>
        </w:tc>
        <w:tc>
          <w:tcPr>
            <w:tcW w:w="1524" w:type="dxa"/>
            <w:tcBorders>
              <w:right w:val="single" w:sz="8" w:space="0" w:color="73A5D8" w:themeColor="accent6"/>
            </w:tcBorders>
            <w:vAlign w:val="center"/>
          </w:tcPr>
          <w:p w:rsidR="00A54363" w:rsidRPr="003C0922"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51</w:t>
            </w:r>
          </w:p>
        </w:tc>
        <w:tc>
          <w:tcPr>
            <w:tcW w:w="152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F2C">
              <w:rPr>
                <w:rFonts w:cstheme="minorHAnsi"/>
                <w:color w:val="000000"/>
              </w:rPr>
              <w:t>51</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441F2C">
              <w:rPr>
                <w:rFonts w:cstheme="minorHAnsi"/>
                <w:i/>
                <w:color w:val="000000"/>
              </w:rPr>
              <w:t>49</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41F2C">
              <w:rPr>
                <w:rFonts w:cstheme="minorHAnsi"/>
                <w:b/>
                <w:color w:val="000000"/>
              </w:rPr>
              <w:t>59</w:t>
            </w:r>
          </w:p>
        </w:tc>
        <w:tc>
          <w:tcPr>
            <w:tcW w:w="1354" w:type="dxa"/>
            <w:tcBorders>
              <w:left w:val="single" w:sz="8" w:space="0" w:color="73A5D8" w:themeColor="accent6"/>
              <w:right w:val="single" w:sz="8" w:space="0" w:color="73A5D8" w:themeColor="accent6"/>
            </w:tcBorders>
            <w:vAlign w:val="center"/>
          </w:tcPr>
          <w:p w:rsidR="00A54363" w:rsidRPr="006C0EB2"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58</w:t>
            </w:r>
          </w:p>
        </w:tc>
        <w:tc>
          <w:tcPr>
            <w:tcW w:w="1354" w:type="dxa"/>
            <w:tcBorders>
              <w:left w:val="single" w:sz="8" w:space="0" w:color="73A5D8" w:themeColor="accent6"/>
            </w:tcBorders>
            <w:vAlign w:val="center"/>
          </w:tcPr>
          <w:p w:rsidR="00A54363" w:rsidRPr="003C0922"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49</w:t>
            </w:r>
          </w:p>
        </w:tc>
      </w:tr>
      <w:tr w:rsidR="00A54363" w:rsidTr="00441F2C">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82125A">
            <w:pPr>
              <w:spacing w:before="40" w:after="40"/>
              <w:rPr>
                <w:rFonts w:cstheme="minorHAnsi"/>
                <w:b w:val="0"/>
                <w:color w:val="000000"/>
                <w:sz w:val="20"/>
              </w:rPr>
            </w:pPr>
            <w:r>
              <w:rPr>
                <w:rFonts w:cstheme="minorHAnsi"/>
                <w:b w:val="0"/>
                <w:color w:val="000000"/>
                <w:sz w:val="20"/>
              </w:rPr>
              <w:t>Turnover</w:t>
            </w:r>
          </w:p>
        </w:tc>
        <w:tc>
          <w:tcPr>
            <w:tcW w:w="1524" w:type="dxa"/>
            <w:tcBorders>
              <w:right w:val="single" w:sz="8" w:space="0" w:color="73A5D8" w:themeColor="accent6"/>
            </w:tcBorders>
            <w:vAlign w:val="center"/>
          </w:tcPr>
          <w:p w:rsidR="00A54363" w:rsidRPr="003C0922"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55</w:t>
            </w:r>
          </w:p>
        </w:tc>
        <w:tc>
          <w:tcPr>
            <w:tcW w:w="152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F2C">
              <w:rPr>
                <w:rFonts w:cstheme="minorHAnsi"/>
                <w:color w:val="000000"/>
              </w:rPr>
              <w:t>55</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41F2C">
              <w:rPr>
                <w:rFonts w:cstheme="minorHAnsi"/>
                <w:i/>
                <w:color w:val="000000"/>
              </w:rPr>
              <w:t>52</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41F2C">
              <w:rPr>
                <w:rFonts w:cstheme="minorHAnsi"/>
                <w:b/>
                <w:color w:val="000000"/>
              </w:rPr>
              <w:t>64</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5D1880"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62</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3C0922"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Pr>
                <w:rFonts w:cstheme="minorHAnsi"/>
                <w:i/>
                <w:color w:val="000000"/>
              </w:rPr>
              <w:t>54</w:t>
            </w:r>
          </w:p>
        </w:tc>
      </w:tr>
      <w:tr w:rsidR="00A54363" w:rsidTr="0044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82125A">
            <w:pPr>
              <w:spacing w:before="40" w:after="40"/>
              <w:rPr>
                <w:rFonts w:cstheme="minorHAnsi"/>
                <w:b w:val="0"/>
                <w:color w:val="000000"/>
                <w:sz w:val="20"/>
              </w:rPr>
            </w:pPr>
            <w:r>
              <w:rPr>
                <w:rFonts w:cstheme="minorHAnsi"/>
                <w:b w:val="0"/>
                <w:color w:val="000000"/>
                <w:sz w:val="20"/>
              </w:rPr>
              <w:t>Market share</w:t>
            </w:r>
          </w:p>
        </w:tc>
        <w:tc>
          <w:tcPr>
            <w:tcW w:w="1524" w:type="dxa"/>
            <w:tcBorders>
              <w:right w:val="single" w:sz="8" w:space="0" w:color="73A5D8" w:themeColor="accent6"/>
            </w:tcBorders>
            <w:vAlign w:val="center"/>
          </w:tcPr>
          <w:p w:rsidR="00A54363" w:rsidRPr="003C0922"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32</w:t>
            </w:r>
          </w:p>
        </w:tc>
        <w:tc>
          <w:tcPr>
            <w:tcW w:w="152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F2C">
              <w:rPr>
                <w:rFonts w:cstheme="minorHAnsi"/>
                <w:color w:val="000000"/>
              </w:rPr>
              <w:t>32</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441F2C">
              <w:rPr>
                <w:rFonts w:cstheme="minorHAnsi"/>
                <w:i/>
                <w:color w:val="000000"/>
              </w:rPr>
              <w:t>28</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41F2C">
              <w:rPr>
                <w:rFonts w:cstheme="minorHAnsi"/>
                <w:b/>
                <w:color w:val="000000"/>
              </w:rPr>
              <w:t>41</w:t>
            </w:r>
          </w:p>
        </w:tc>
        <w:tc>
          <w:tcPr>
            <w:tcW w:w="1354" w:type="dxa"/>
            <w:tcBorders>
              <w:left w:val="single" w:sz="8" w:space="0" w:color="73A5D8" w:themeColor="accent6"/>
              <w:right w:val="single" w:sz="8" w:space="0" w:color="73A5D8" w:themeColor="accent6"/>
            </w:tcBorders>
            <w:vAlign w:val="center"/>
          </w:tcPr>
          <w:p w:rsidR="00A54363" w:rsidRPr="005D1880"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42</w:t>
            </w:r>
          </w:p>
        </w:tc>
        <w:tc>
          <w:tcPr>
            <w:tcW w:w="1354" w:type="dxa"/>
            <w:tcBorders>
              <w:lef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41F2C">
              <w:rPr>
                <w:rFonts w:cstheme="minorHAnsi"/>
                <w:b/>
                <w:color w:val="000000"/>
              </w:rPr>
              <w:t>52</w:t>
            </w:r>
          </w:p>
        </w:tc>
      </w:tr>
      <w:tr w:rsidR="00A54363" w:rsidTr="00441F2C">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82125A">
            <w:pPr>
              <w:spacing w:before="40" w:after="40"/>
              <w:rPr>
                <w:rFonts w:cstheme="minorHAnsi"/>
                <w:b w:val="0"/>
                <w:color w:val="000000"/>
                <w:sz w:val="20"/>
              </w:rPr>
            </w:pPr>
            <w:r>
              <w:rPr>
                <w:rFonts w:cstheme="minorHAnsi"/>
                <w:b w:val="0"/>
                <w:color w:val="000000"/>
                <w:sz w:val="20"/>
              </w:rPr>
              <w:t>Domestic sales</w:t>
            </w:r>
          </w:p>
        </w:tc>
        <w:tc>
          <w:tcPr>
            <w:tcW w:w="1524" w:type="dxa"/>
            <w:tcBorders>
              <w:right w:val="single" w:sz="8" w:space="0" w:color="73A5D8" w:themeColor="accent6"/>
            </w:tcBorders>
            <w:vAlign w:val="center"/>
          </w:tcPr>
          <w:p w:rsidR="00A54363" w:rsidRPr="003C0922"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40</w:t>
            </w:r>
          </w:p>
        </w:tc>
        <w:tc>
          <w:tcPr>
            <w:tcW w:w="152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F2C">
              <w:rPr>
                <w:rFonts w:cstheme="minorHAnsi"/>
                <w:color w:val="000000"/>
              </w:rPr>
              <w:t>39</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41F2C">
              <w:rPr>
                <w:rFonts w:cstheme="minorHAnsi"/>
                <w:i/>
                <w:color w:val="000000"/>
              </w:rPr>
              <w:t>38</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41F2C">
              <w:rPr>
                <w:rFonts w:cstheme="minorHAnsi"/>
                <w:b/>
                <w:color w:val="000000"/>
              </w:rPr>
              <w:t>47</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5D1880"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41</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54363" w:rsidRPr="003C0922"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Pr>
                <w:rFonts w:cstheme="minorHAnsi"/>
                <w:i/>
                <w:color w:val="000000"/>
              </w:rPr>
              <w:t>44</w:t>
            </w:r>
          </w:p>
        </w:tc>
      </w:tr>
      <w:tr w:rsidR="00A54363" w:rsidTr="0044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82125A">
            <w:pPr>
              <w:spacing w:before="40" w:after="40"/>
              <w:rPr>
                <w:rFonts w:cstheme="minorHAnsi"/>
                <w:b w:val="0"/>
                <w:color w:val="000000"/>
                <w:sz w:val="20"/>
              </w:rPr>
            </w:pPr>
            <w:r>
              <w:rPr>
                <w:rFonts w:cstheme="minorHAnsi"/>
                <w:b w:val="0"/>
                <w:color w:val="000000"/>
                <w:sz w:val="20"/>
              </w:rPr>
              <w:t xml:space="preserve">None of the above </w:t>
            </w:r>
          </w:p>
        </w:tc>
        <w:tc>
          <w:tcPr>
            <w:tcW w:w="1524" w:type="dxa"/>
            <w:tcBorders>
              <w:right w:val="single" w:sz="8" w:space="0" w:color="73A5D8" w:themeColor="accent6"/>
            </w:tcBorders>
            <w:vAlign w:val="center"/>
          </w:tcPr>
          <w:p w:rsidR="00A54363" w:rsidRPr="003C0922"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30</w:t>
            </w:r>
          </w:p>
        </w:tc>
        <w:tc>
          <w:tcPr>
            <w:tcW w:w="152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F2C">
              <w:rPr>
                <w:rFonts w:cstheme="minorHAnsi"/>
                <w:color w:val="000000"/>
              </w:rPr>
              <w:t>30</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441F2C">
              <w:rPr>
                <w:rFonts w:cstheme="minorHAnsi"/>
                <w:i/>
                <w:color w:val="000000"/>
              </w:rPr>
              <w:t>34</w:t>
            </w:r>
          </w:p>
        </w:tc>
        <w:tc>
          <w:tcPr>
            <w:tcW w:w="1354" w:type="dxa"/>
            <w:tcBorders>
              <w:left w:val="single" w:sz="8" w:space="0" w:color="73A5D8" w:themeColor="accent6"/>
              <w:right w:val="single" w:sz="8" w:space="0" w:color="73A5D8" w:themeColor="accent6"/>
            </w:tcBorders>
            <w:vAlign w:val="center"/>
          </w:tcPr>
          <w:p w:rsidR="00A54363" w:rsidRPr="005D1880"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18</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441F2C">
              <w:rPr>
                <w:rFonts w:cstheme="minorHAnsi"/>
                <w:i/>
                <w:color w:val="000000"/>
              </w:rPr>
              <w:t>18</w:t>
            </w:r>
          </w:p>
        </w:tc>
        <w:tc>
          <w:tcPr>
            <w:tcW w:w="1354" w:type="dxa"/>
            <w:tcBorders>
              <w:left w:val="single" w:sz="8" w:space="0" w:color="73A5D8" w:themeColor="accent6"/>
            </w:tcBorders>
            <w:vAlign w:val="center"/>
          </w:tcPr>
          <w:p w:rsidR="00A54363" w:rsidRPr="003C0922" w:rsidRDefault="00441F2C"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11</w:t>
            </w:r>
          </w:p>
        </w:tc>
      </w:tr>
      <w:tr w:rsidR="00A54363" w:rsidTr="00441F2C">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8E5464" w:rsidP="0082125A">
            <w:pPr>
              <w:spacing w:before="40" w:after="40"/>
              <w:rPr>
                <w:rFonts w:cstheme="minorHAnsi"/>
                <w:b w:val="0"/>
                <w:color w:val="000000"/>
                <w:sz w:val="20"/>
              </w:rPr>
            </w:pPr>
            <w:r>
              <w:rPr>
                <w:rFonts w:cstheme="minorHAnsi"/>
                <w:b w:val="0"/>
                <w:color w:val="000000"/>
                <w:sz w:val="20"/>
              </w:rPr>
              <w:t>Any of the above</w:t>
            </w:r>
          </w:p>
        </w:tc>
        <w:tc>
          <w:tcPr>
            <w:tcW w:w="1524" w:type="dxa"/>
            <w:tcBorders>
              <w:right w:val="single" w:sz="8" w:space="0" w:color="73A5D8" w:themeColor="accent6"/>
            </w:tcBorders>
            <w:vAlign w:val="center"/>
          </w:tcPr>
          <w:p w:rsidR="00A54363" w:rsidRPr="003C0922"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65</w:t>
            </w:r>
          </w:p>
        </w:tc>
        <w:tc>
          <w:tcPr>
            <w:tcW w:w="1524" w:type="dxa"/>
            <w:tcBorders>
              <w:left w:val="single" w:sz="8" w:space="0" w:color="73A5D8" w:themeColor="accent6"/>
              <w:right w:val="single" w:sz="8" w:space="0" w:color="73A5D8" w:themeColor="accent6"/>
            </w:tcBorders>
            <w:vAlign w:val="center"/>
          </w:tcPr>
          <w:p w:rsidR="00A54363" w:rsidRPr="003C0922"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65</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41F2C">
              <w:rPr>
                <w:rFonts w:cstheme="minorHAnsi"/>
                <w:i/>
                <w:color w:val="000000"/>
              </w:rPr>
              <w:t>62</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41F2C">
              <w:rPr>
                <w:rFonts w:cstheme="minorHAnsi"/>
                <w:b/>
                <w:color w:val="000000"/>
              </w:rPr>
              <w:t>72</w:t>
            </w:r>
          </w:p>
        </w:tc>
        <w:tc>
          <w:tcPr>
            <w:tcW w:w="1354" w:type="dxa"/>
            <w:tcBorders>
              <w:left w:val="single" w:sz="8" w:space="0" w:color="73A5D8" w:themeColor="accent6"/>
              <w:right w:val="single" w:sz="8" w:space="0" w:color="73A5D8" w:themeColor="accent6"/>
            </w:tcBorders>
            <w:vAlign w:val="center"/>
          </w:tcPr>
          <w:p w:rsidR="00A54363" w:rsidRPr="005D1880"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72</w:t>
            </w:r>
          </w:p>
        </w:tc>
        <w:tc>
          <w:tcPr>
            <w:tcW w:w="1354" w:type="dxa"/>
            <w:tcBorders>
              <w:left w:val="single" w:sz="8" w:space="0" w:color="73A5D8" w:themeColor="accent6"/>
              <w:right w:val="single" w:sz="8" w:space="0" w:color="73A5D8" w:themeColor="accent6"/>
            </w:tcBorders>
            <w:vAlign w:val="center"/>
          </w:tcPr>
          <w:p w:rsidR="00A54363" w:rsidRPr="00441F2C" w:rsidRDefault="00441F2C"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41F2C">
              <w:rPr>
                <w:rFonts w:cstheme="minorHAnsi"/>
                <w:b/>
                <w:color w:val="000000"/>
              </w:rPr>
              <w:t>74</w:t>
            </w:r>
          </w:p>
        </w:tc>
      </w:tr>
      <w:tr w:rsidR="00A54363" w:rsidRPr="003C0922" w:rsidTr="008E5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54363" w:rsidRPr="003C0922" w:rsidRDefault="00A54363" w:rsidP="0082125A">
            <w:pPr>
              <w:spacing w:before="40" w:after="4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524" w:type="dxa"/>
            <w:tcBorders>
              <w:right w:val="single" w:sz="8" w:space="0" w:color="73A5D8" w:themeColor="accent6"/>
            </w:tcBorders>
            <w:vAlign w:val="center"/>
          </w:tcPr>
          <w:p w:rsidR="00A54363" w:rsidRPr="003C0922" w:rsidRDefault="00090904"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1466</w:t>
            </w:r>
          </w:p>
        </w:tc>
        <w:tc>
          <w:tcPr>
            <w:tcW w:w="1524" w:type="dxa"/>
            <w:tcBorders>
              <w:left w:val="single" w:sz="8" w:space="0" w:color="73A5D8" w:themeColor="accent6"/>
              <w:right w:val="single" w:sz="8" w:space="0" w:color="73A5D8" w:themeColor="accent6"/>
            </w:tcBorders>
            <w:vAlign w:val="center"/>
          </w:tcPr>
          <w:p w:rsidR="00A54363" w:rsidRPr="003C0922" w:rsidRDefault="00090904"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1099</w:t>
            </w:r>
          </w:p>
        </w:tc>
        <w:tc>
          <w:tcPr>
            <w:tcW w:w="1354" w:type="dxa"/>
            <w:tcBorders>
              <w:left w:val="single" w:sz="8" w:space="0" w:color="73A5D8" w:themeColor="accent6"/>
              <w:right w:val="single" w:sz="8" w:space="0" w:color="73A5D8" w:themeColor="accent6"/>
            </w:tcBorders>
            <w:vAlign w:val="center"/>
          </w:tcPr>
          <w:p w:rsidR="00A54363" w:rsidRPr="003C0922" w:rsidRDefault="003507E8"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1000</w:t>
            </w:r>
          </w:p>
        </w:tc>
        <w:tc>
          <w:tcPr>
            <w:tcW w:w="1354" w:type="dxa"/>
            <w:tcBorders>
              <w:left w:val="single" w:sz="8" w:space="0" w:color="73A5D8" w:themeColor="accent6"/>
              <w:right w:val="single" w:sz="8" w:space="0" w:color="73A5D8" w:themeColor="accent6"/>
            </w:tcBorders>
            <w:vAlign w:val="center"/>
          </w:tcPr>
          <w:p w:rsidR="00A54363" w:rsidRPr="003C0922" w:rsidRDefault="003507E8"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295</w:t>
            </w:r>
          </w:p>
        </w:tc>
        <w:tc>
          <w:tcPr>
            <w:tcW w:w="1354" w:type="dxa"/>
            <w:tcBorders>
              <w:left w:val="single" w:sz="8" w:space="0" w:color="73A5D8" w:themeColor="accent6"/>
              <w:right w:val="single" w:sz="8" w:space="0" w:color="73A5D8" w:themeColor="accent6"/>
            </w:tcBorders>
            <w:vAlign w:val="center"/>
          </w:tcPr>
          <w:p w:rsidR="00A54363" w:rsidRPr="003C0922" w:rsidRDefault="003507E8"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133</w:t>
            </w:r>
          </w:p>
        </w:tc>
        <w:tc>
          <w:tcPr>
            <w:tcW w:w="1354" w:type="dxa"/>
            <w:tcBorders>
              <w:left w:val="single" w:sz="8" w:space="0" w:color="73A5D8" w:themeColor="accent6"/>
            </w:tcBorders>
            <w:vAlign w:val="center"/>
          </w:tcPr>
          <w:p w:rsidR="00A54363" w:rsidRPr="003C0922" w:rsidRDefault="003507E8"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38</w:t>
            </w:r>
          </w:p>
        </w:tc>
      </w:tr>
    </w:tbl>
    <w:p w:rsidR="00A54363" w:rsidRDefault="00A54363" w:rsidP="00A54363">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206CE3" w:rsidRDefault="00206CE3" w:rsidP="00206CE3">
      <w:pPr>
        <w:pStyle w:val="Heading2"/>
      </w:pPr>
      <w:bookmarkStart w:id="37" w:name="_Toc394057528"/>
      <w:r>
        <w:t>Anticipated growth</w:t>
      </w:r>
      <w:bookmarkEnd w:id="37"/>
    </w:p>
    <w:p w:rsidR="00206CE3" w:rsidRDefault="00206CE3" w:rsidP="00206CE3">
      <w:pPr>
        <w:pStyle w:val="Heading3"/>
      </w:pPr>
      <w:bookmarkStart w:id="38" w:name="_Toc394057529"/>
      <w:r>
        <w:t>Employment</w:t>
      </w:r>
      <w:bookmarkEnd w:id="38"/>
    </w:p>
    <w:p w:rsidR="00206CE3" w:rsidRDefault="000713CD" w:rsidP="00206CE3">
      <w:pPr>
        <w:pStyle w:val="BodyText"/>
      </w:pPr>
      <w:r>
        <w:t>Over the next 12 months, 27% of all employers anticipate an increase in the number of staff employed at their site.   This contrasts with just 3% of those that anticipate a decrease.  It reflects an optimistic outlook but also the extent to which reductions in staff</w:t>
      </w:r>
      <w:r w:rsidR="00E05408">
        <w:t xml:space="preserve"> just happen and</w:t>
      </w:r>
      <w:r>
        <w:t xml:space="preserve"> are less likely to be planned in advance.</w:t>
      </w:r>
    </w:p>
    <w:p w:rsidR="000713CD" w:rsidRDefault="00E554B0" w:rsidP="00206CE3">
      <w:pPr>
        <w:pStyle w:val="BodyText"/>
      </w:pPr>
      <w:r>
        <w:t>Two-thirds of employers (68%) do not expect the size of their workforce to change in the next 12 months.</w:t>
      </w:r>
    </w:p>
    <w:p w:rsidR="00E554B0" w:rsidRDefault="00E554B0" w:rsidP="00206CE3">
      <w:pPr>
        <w:pStyle w:val="BodyText"/>
      </w:pPr>
      <w:r>
        <w:t>As was the case for recent workforce change, anticipated growth in employment increases with business size to more than a third of businesses with between 10 and 99 employees (34%) and more than two-fifths of those with 100 or more staff (45%).  The largest employers are, however, significantly more likely than average to expect to reduce the number of their staff (12%).</w:t>
      </w:r>
    </w:p>
    <w:p w:rsidR="00554699" w:rsidRDefault="00554699">
      <w:pPr>
        <w:spacing w:after="360"/>
        <w:rPr>
          <w:b/>
          <w:bCs/>
          <w:szCs w:val="18"/>
        </w:rPr>
      </w:pPr>
      <w:r>
        <w:br w:type="page"/>
      </w:r>
    </w:p>
    <w:p w:rsidR="00CC2676" w:rsidRDefault="00CC2676" w:rsidP="00CC2676">
      <w:pPr>
        <w:pStyle w:val="Caption"/>
      </w:pPr>
      <w:r>
        <w:lastRenderedPageBreak/>
        <w:t>Table 5.</w:t>
      </w:r>
      <w:r w:rsidR="00E05408">
        <w:t>4</w:t>
      </w:r>
      <w:r>
        <w:t xml:space="preserve">:  Employment growth that is anticipated in the next 12 months, by employer size (all </w:t>
      </w:r>
      <w:r w:rsidR="00E3671E">
        <w:t>employers</w:t>
      </w:r>
      <w:r>
        <w:t>)</w:t>
      </w:r>
    </w:p>
    <w:tbl>
      <w:tblPr>
        <w:tblStyle w:val="LightList-Accent6"/>
        <w:tblW w:w="10591" w:type="dxa"/>
        <w:tblInd w:w="-459" w:type="dxa"/>
        <w:tblLook w:val="04A0" w:firstRow="1" w:lastRow="0" w:firstColumn="1" w:lastColumn="0" w:noHBand="0" w:noVBand="1"/>
      </w:tblPr>
      <w:tblGrid>
        <w:gridCol w:w="2127"/>
        <w:gridCol w:w="1524"/>
        <w:gridCol w:w="1524"/>
        <w:gridCol w:w="1354"/>
        <w:gridCol w:w="1354"/>
        <w:gridCol w:w="1354"/>
        <w:gridCol w:w="1354"/>
      </w:tblGrid>
      <w:tr w:rsidR="00CC2676" w:rsidRPr="003C0922" w:rsidTr="00E05408">
        <w:trPr>
          <w:cnfStyle w:val="100000000000" w:firstRow="1" w:lastRow="0" w:firstColumn="0" w:lastColumn="0" w:oddVBand="0" w:evenVBand="0" w:oddHBand="0" w:evenHBand="0" w:firstRowFirstColumn="0" w:firstRowLastColumn="0" w:lastRowFirstColumn="0" w:lastRowLastColumn="0"/>
          <w:cantSplit/>
          <w:trHeight w:val="649"/>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C2676" w:rsidRPr="003C0922" w:rsidRDefault="00CC2676" w:rsidP="00E05408">
            <w:pPr>
              <w:spacing w:before="60" w:after="60"/>
              <w:rPr>
                <w:rFonts w:cstheme="minorHAnsi"/>
                <w:b w:val="0"/>
                <w:sz w:val="20"/>
              </w:rPr>
            </w:pPr>
          </w:p>
        </w:tc>
        <w:tc>
          <w:tcPr>
            <w:tcW w:w="1524" w:type="dxa"/>
            <w:vAlign w:val="center"/>
          </w:tcPr>
          <w:p w:rsidR="00CC2676" w:rsidRPr="00554699" w:rsidRDefault="00CC2676"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Greater Lincolnshire</w:t>
            </w:r>
          </w:p>
        </w:tc>
        <w:tc>
          <w:tcPr>
            <w:tcW w:w="1524" w:type="dxa"/>
            <w:tcBorders>
              <w:bottom w:val="single" w:sz="8" w:space="0" w:color="73A5D8" w:themeColor="accent6"/>
            </w:tcBorders>
            <w:vAlign w:val="center"/>
          </w:tcPr>
          <w:p w:rsidR="00CC2676" w:rsidRPr="00554699" w:rsidRDefault="00CC2676"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Lincolnshire county</w:t>
            </w:r>
          </w:p>
        </w:tc>
        <w:tc>
          <w:tcPr>
            <w:tcW w:w="1354" w:type="dxa"/>
            <w:tcBorders>
              <w:bottom w:val="single" w:sz="8" w:space="0" w:color="73A5D8" w:themeColor="accent6"/>
            </w:tcBorders>
            <w:vAlign w:val="center"/>
          </w:tcPr>
          <w:p w:rsidR="00CC2676" w:rsidRPr="00554699" w:rsidRDefault="00CC2676"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2-9 employees</w:t>
            </w:r>
          </w:p>
        </w:tc>
        <w:tc>
          <w:tcPr>
            <w:tcW w:w="1354" w:type="dxa"/>
            <w:tcBorders>
              <w:bottom w:val="single" w:sz="8" w:space="0" w:color="73A5D8" w:themeColor="accent6"/>
            </w:tcBorders>
            <w:vAlign w:val="center"/>
          </w:tcPr>
          <w:p w:rsidR="00CC2676" w:rsidRPr="00554699" w:rsidRDefault="00CC2676"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10-24 employees</w:t>
            </w:r>
          </w:p>
        </w:tc>
        <w:tc>
          <w:tcPr>
            <w:tcW w:w="1354" w:type="dxa"/>
            <w:tcBorders>
              <w:bottom w:val="single" w:sz="8" w:space="0" w:color="73A5D8" w:themeColor="accent6"/>
            </w:tcBorders>
            <w:vAlign w:val="center"/>
          </w:tcPr>
          <w:p w:rsidR="00CC2676" w:rsidRPr="00554699" w:rsidRDefault="00CC2676"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25-99 employees</w:t>
            </w:r>
          </w:p>
        </w:tc>
        <w:tc>
          <w:tcPr>
            <w:tcW w:w="1354" w:type="dxa"/>
            <w:tcBorders>
              <w:bottom w:val="single" w:sz="8" w:space="0" w:color="73A5D8" w:themeColor="accent6"/>
            </w:tcBorders>
            <w:vAlign w:val="center"/>
          </w:tcPr>
          <w:p w:rsidR="00CC2676" w:rsidRPr="00554699" w:rsidRDefault="00CC2676" w:rsidP="00E0540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100+ employees</w:t>
            </w:r>
          </w:p>
        </w:tc>
      </w:tr>
      <w:tr w:rsidR="00CC2676" w:rsidTr="00E05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C2676" w:rsidRPr="003C0922" w:rsidRDefault="00CC2676" w:rsidP="00554699">
            <w:pPr>
              <w:spacing w:before="40" w:after="40"/>
              <w:rPr>
                <w:rFonts w:cstheme="minorHAnsi"/>
                <w:b w:val="0"/>
                <w:color w:val="000000"/>
                <w:sz w:val="20"/>
              </w:rPr>
            </w:pPr>
            <w:r>
              <w:rPr>
                <w:rFonts w:cstheme="minorHAnsi"/>
                <w:b w:val="0"/>
                <w:color w:val="000000"/>
                <w:sz w:val="20"/>
              </w:rPr>
              <w:t>Increase</w:t>
            </w:r>
          </w:p>
        </w:tc>
        <w:tc>
          <w:tcPr>
            <w:tcW w:w="1524" w:type="dxa"/>
            <w:tcBorders>
              <w:right w:val="single" w:sz="8" w:space="0" w:color="73A5D8" w:themeColor="accent6"/>
            </w:tcBorders>
            <w:vAlign w:val="center"/>
          </w:tcPr>
          <w:p w:rsidR="00CC2676" w:rsidRPr="003C0922"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27</w:t>
            </w:r>
          </w:p>
        </w:tc>
        <w:tc>
          <w:tcPr>
            <w:tcW w:w="1524" w:type="dxa"/>
            <w:tcBorders>
              <w:left w:val="single" w:sz="8" w:space="0" w:color="73A5D8" w:themeColor="accent6"/>
              <w:right w:val="single" w:sz="8" w:space="0" w:color="73A5D8" w:themeColor="accent6"/>
            </w:tcBorders>
            <w:vAlign w:val="center"/>
          </w:tcPr>
          <w:p w:rsidR="00CC2676" w:rsidRPr="00441F2C"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27</w:t>
            </w:r>
          </w:p>
        </w:tc>
        <w:tc>
          <w:tcPr>
            <w:tcW w:w="1354" w:type="dxa"/>
            <w:tcBorders>
              <w:left w:val="single" w:sz="8" w:space="0" w:color="73A5D8" w:themeColor="accent6"/>
              <w:right w:val="single" w:sz="8" w:space="0" w:color="73A5D8" w:themeColor="accent6"/>
            </w:tcBorders>
            <w:vAlign w:val="center"/>
          </w:tcPr>
          <w:p w:rsidR="00CC2676" w:rsidRPr="00441F2C"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24</w:t>
            </w:r>
          </w:p>
        </w:tc>
        <w:tc>
          <w:tcPr>
            <w:tcW w:w="1354" w:type="dxa"/>
            <w:tcBorders>
              <w:left w:val="single" w:sz="8" w:space="0" w:color="73A5D8" w:themeColor="accent6"/>
              <w:right w:val="single" w:sz="8" w:space="0" w:color="73A5D8" w:themeColor="accent6"/>
            </w:tcBorders>
            <w:vAlign w:val="center"/>
          </w:tcPr>
          <w:p w:rsidR="00CC2676" w:rsidRPr="00441F2C"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36</w:t>
            </w:r>
          </w:p>
        </w:tc>
        <w:tc>
          <w:tcPr>
            <w:tcW w:w="1354" w:type="dxa"/>
            <w:tcBorders>
              <w:left w:val="single" w:sz="8" w:space="0" w:color="73A5D8" w:themeColor="accent6"/>
              <w:right w:val="single" w:sz="8" w:space="0" w:color="73A5D8" w:themeColor="accent6"/>
            </w:tcBorders>
            <w:vAlign w:val="center"/>
          </w:tcPr>
          <w:p w:rsidR="00CC2676" w:rsidRPr="00CC2676"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C2676">
              <w:rPr>
                <w:rFonts w:cstheme="minorHAnsi"/>
                <w:color w:val="000000"/>
              </w:rPr>
              <w:t>32</w:t>
            </w:r>
          </w:p>
        </w:tc>
        <w:tc>
          <w:tcPr>
            <w:tcW w:w="1354" w:type="dxa"/>
            <w:tcBorders>
              <w:left w:val="single" w:sz="8" w:space="0" w:color="73A5D8" w:themeColor="accent6"/>
            </w:tcBorders>
            <w:vAlign w:val="center"/>
          </w:tcPr>
          <w:p w:rsidR="00CC2676" w:rsidRPr="008E6C7B"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45</w:t>
            </w:r>
          </w:p>
        </w:tc>
      </w:tr>
      <w:tr w:rsidR="00CC2676" w:rsidTr="00E05408">
        <w:tc>
          <w:tcPr>
            <w:cnfStyle w:val="001000000000" w:firstRow="0" w:lastRow="0" w:firstColumn="1" w:lastColumn="0" w:oddVBand="0" w:evenVBand="0" w:oddHBand="0" w:evenHBand="0" w:firstRowFirstColumn="0" w:firstRowLastColumn="0" w:lastRowFirstColumn="0" w:lastRowLastColumn="0"/>
            <w:tcW w:w="2127" w:type="dxa"/>
            <w:vAlign w:val="center"/>
          </w:tcPr>
          <w:p w:rsidR="00CC2676" w:rsidRPr="003C0922" w:rsidRDefault="00CC2676" w:rsidP="00554699">
            <w:pPr>
              <w:spacing w:before="40" w:after="40"/>
              <w:rPr>
                <w:rFonts w:cstheme="minorHAnsi"/>
                <w:b w:val="0"/>
                <w:color w:val="000000"/>
                <w:sz w:val="20"/>
              </w:rPr>
            </w:pPr>
            <w:r>
              <w:rPr>
                <w:rFonts w:cstheme="minorHAnsi"/>
                <w:b w:val="0"/>
                <w:color w:val="000000"/>
                <w:sz w:val="20"/>
              </w:rPr>
              <w:t>Decrease</w:t>
            </w:r>
          </w:p>
        </w:tc>
        <w:tc>
          <w:tcPr>
            <w:tcW w:w="1524" w:type="dxa"/>
            <w:tcBorders>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w:t>
            </w:r>
          </w:p>
        </w:tc>
        <w:tc>
          <w:tcPr>
            <w:tcW w:w="152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441F2C"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8E6C7B"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8E6C7B"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CC2676"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C2676">
              <w:rPr>
                <w:rFonts w:cstheme="minorHAnsi"/>
                <w:color w:val="000000"/>
              </w:rPr>
              <w:t>5</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8E6C7B"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12</w:t>
            </w:r>
          </w:p>
        </w:tc>
      </w:tr>
      <w:tr w:rsidR="00CC2676" w:rsidTr="00E05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C2676" w:rsidRPr="003C0922" w:rsidRDefault="00CC2676" w:rsidP="00554699">
            <w:pPr>
              <w:spacing w:before="40" w:after="40"/>
              <w:rPr>
                <w:rFonts w:cstheme="minorHAnsi"/>
                <w:b w:val="0"/>
                <w:color w:val="000000"/>
                <w:sz w:val="20"/>
              </w:rPr>
            </w:pPr>
            <w:r>
              <w:rPr>
                <w:rFonts w:cstheme="minorHAnsi"/>
                <w:b w:val="0"/>
                <w:color w:val="000000"/>
                <w:sz w:val="20"/>
              </w:rPr>
              <w:t>No change</w:t>
            </w:r>
          </w:p>
        </w:tc>
        <w:tc>
          <w:tcPr>
            <w:tcW w:w="1524" w:type="dxa"/>
            <w:tcBorders>
              <w:right w:val="single" w:sz="8" w:space="0" w:color="73A5D8" w:themeColor="accent6"/>
            </w:tcBorders>
            <w:vAlign w:val="center"/>
          </w:tcPr>
          <w:p w:rsidR="00CC2676" w:rsidRPr="003C0922"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68</w:t>
            </w:r>
          </w:p>
        </w:tc>
        <w:tc>
          <w:tcPr>
            <w:tcW w:w="1524" w:type="dxa"/>
            <w:tcBorders>
              <w:left w:val="single" w:sz="8" w:space="0" w:color="73A5D8" w:themeColor="accent6"/>
              <w:right w:val="single" w:sz="8" w:space="0" w:color="73A5D8" w:themeColor="accent6"/>
            </w:tcBorders>
            <w:vAlign w:val="center"/>
          </w:tcPr>
          <w:p w:rsidR="00CC2676" w:rsidRPr="00441F2C"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68</w:t>
            </w:r>
          </w:p>
        </w:tc>
        <w:tc>
          <w:tcPr>
            <w:tcW w:w="1354" w:type="dxa"/>
            <w:tcBorders>
              <w:left w:val="single" w:sz="8" w:space="0" w:color="73A5D8" w:themeColor="accent6"/>
              <w:right w:val="single" w:sz="8" w:space="0" w:color="73A5D8" w:themeColor="accent6"/>
            </w:tcBorders>
            <w:vAlign w:val="center"/>
          </w:tcPr>
          <w:p w:rsidR="00CC2676" w:rsidRPr="008E6C7B"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Pr>
                <w:rFonts w:cstheme="minorHAnsi"/>
                <w:b/>
                <w:color w:val="000000"/>
              </w:rPr>
              <w:t>72</w:t>
            </w:r>
          </w:p>
        </w:tc>
        <w:tc>
          <w:tcPr>
            <w:tcW w:w="1354" w:type="dxa"/>
            <w:tcBorders>
              <w:left w:val="single" w:sz="8" w:space="0" w:color="73A5D8" w:themeColor="accent6"/>
              <w:right w:val="single" w:sz="8" w:space="0" w:color="73A5D8" w:themeColor="accent6"/>
            </w:tcBorders>
            <w:vAlign w:val="center"/>
          </w:tcPr>
          <w:p w:rsidR="00CC2676" w:rsidRPr="008E6C7B"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59</w:t>
            </w:r>
          </w:p>
        </w:tc>
        <w:tc>
          <w:tcPr>
            <w:tcW w:w="1354" w:type="dxa"/>
            <w:tcBorders>
              <w:left w:val="single" w:sz="8" w:space="0" w:color="73A5D8" w:themeColor="accent6"/>
              <w:right w:val="single" w:sz="8" w:space="0" w:color="73A5D8" w:themeColor="accent6"/>
            </w:tcBorders>
            <w:vAlign w:val="center"/>
          </w:tcPr>
          <w:p w:rsidR="00CC2676" w:rsidRPr="00CC2676"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C2676">
              <w:rPr>
                <w:rFonts w:cstheme="minorHAnsi"/>
                <w:color w:val="000000"/>
              </w:rPr>
              <w:t>62</w:t>
            </w:r>
          </w:p>
        </w:tc>
        <w:tc>
          <w:tcPr>
            <w:tcW w:w="1354" w:type="dxa"/>
            <w:tcBorders>
              <w:left w:val="single" w:sz="8" w:space="0" w:color="73A5D8" w:themeColor="accent6"/>
            </w:tcBorders>
            <w:vAlign w:val="center"/>
          </w:tcPr>
          <w:p w:rsidR="00CC2676" w:rsidRPr="008E6C7B" w:rsidRDefault="00CC2676" w:rsidP="0055469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Pr>
                <w:rFonts w:cstheme="minorHAnsi"/>
                <w:i/>
                <w:color w:val="000000"/>
              </w:rPr>
              <w:t>43</w:t>
            </w:r>
          </w:p>
        </w:tc>
      </w:tr>
      <w:tr w:rsidR="00CC2676" w:rsidRPr="003C0922" w:rsidTr="00E05408">
        <w:tc>
          <w:tcPr>
            <w:cnfStyle w:val="001000000000" w:firstRow="0" w:lastRow="0" w:firstColumn="1" w:lastColumn="0" w:oddVBand="0" w:evenVBand="0" w:oddHBand="0" w:evenHBand="0" w:firstRowFirstColumn="0" w:firstRowLastColumn="0" w:lastRowFirstColumn="0" w:lastRowLastColumn="0"/>
            <w:tcW w:w="2127" w:type="dxa"/>
            <w:vAlign w:val="center"/>
          </w:tcPr>
          <w:p w:rsidR="00CC2676" w:rsidRPr="003C0922" w:rsidRDefault="00CC2676" w:rsidP="00554699">
            <w:pPr>
              <w:spacing w:before="40" w:after="4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524" w:type="dxa"/>
            <w:tcBorders>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1515</w:t>
            </w:r>
          </w:p>
        </w:tc>
        <w:tc>
          <w:tcPr>
            <w:tcW w:w="1524" w:type="dxa"/>
            <w:tcBorders>
              <w:left w:val="single" w:sz="8" w:space="0" w:color="73A5D8" w:themeColor="accent6"/>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1141</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1018</w:t>
            </w:r>
          </w:p>
        </w:tc>
        <w:tc>
          <w:tcPr>
            <w:tcW w:w="1354" w:type="dxa"/>
            <w:tcBorders>
              <w:left w:val="single" w:sz="8" w:space="0" w:color="73A5D8" w:themeColor="accent6"/>
              <w:bottom w:val="single" w:sz="8" w:space="0" w:color="73A5D8" w:themeColor="accent6"/>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307</w:t>
            </w:r>
          </w:p>
        </w:tc>
        <w:tc>
          <w:tcPr>
            <w:tcW w:w="135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w:t>
            </w:r>
          </w:p>
        </w:tc>
        <w:tc>
          <w:tcPr>
            <w:tcW w:w="1354" w:type="dxa"/>
            <w:tcBorders>
              <w:left w:val="single" w:sz="8" w:space="0" w:color="73A5D8" w:themeColor="accent6"/>
              <w:bottom w:val="single" w:sz="8" w:space="0" w:color="73A5D8" w:themeColor="accent6"/>
              <w:right w:val="single" w:sz="8" w:space="0" w:color="73A5D8" w:themeColor="accent6"/>
            </w:tcBorders>
            <w:vAlign w:val="center"/>
          </w:tcPr>
          <w:p w:rsidR="00CC2676" w:rsidRPr="003C0922" w:rsidRDefault="00CC2676" w:rsidP="0055469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39</w:t>
            </w:r>
          </w:p>
        </w:tc>
      </w:tr>
    </w:tbl>
    <w:p w:rsidR="00CC2676" w:rsidRDefault="00CC2676" w:rsidP="00CC2676">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D3684C" w:rsidRDefault="00D3684C" w:rsidP="00D3684C">
      <w:pPr>
        <w:pStyle w:val="BodyText"/>
      </w:pPr>
      <w:r>
        <w:t>Employers in North Kesteven are significantly more likely than average (34%)</w:t>
      </w:r>
      <w:r w:rsidR="00B735F2">
        <w:t xml:space="preserve"> to expect to increase the number of staff at their site in the next 12 months.  There is little variation by district in terms of anticipated down-sizing.</w:t>
      </w:r>
    </w:p>
    <w:p w:rsidR="00B735F2" w:rsidRDefault="00B735F2" w:rsidP="00D3684C">
      <w:pPr>
        <w:pStyle w:val="BodyText"/>
      </w:pPr>
      <w:r>
        <w:t xml:space="preserve">By sector, employers in construction (44%) are significantly more likely than average to </w:t>
      </w:r>
      <w:r w:rsidR="008C0BFF">
        <w:t>anticipate</w:t>
      </w:r>
      <w:r>
        <w:t xml:space="preserve"> an increase in their workforce, while the proportion is also higher than average in manufacturing (35%).</w:t>
      </w:r>
    </w:p>
    <w:p w:rsidR="00BE193D" w:rsidRDefault="00BE193D" w:rsidP="00BE193D">
      <w:pPr>
        <w:pStyle w:val="BodyText"/>
      </w:pPr>
      <w:r>
        <w:t>Young businesses are significantly more likely than businesses established for more than 5 years to report employment growth in the last 12 months and to expect growth in the next 12 months:</w:t>
      </w:r>
    </w:p>
    <w:p w:rsidR="00BE193D" w:rsidRDefault="00BE193D" w:rsidP="00BE193D">
      <w:pPr>
        <w:pStyle w:val="ListParagraph"/>
        <w:ind w:left="284" w:hanging="284"/>
      </w:pPr>
      <w:r>
        <w:t>Increase in last 12 months:  34% of businesses &lt; 5 years; 20% of businesses &gt; 5 years</w:t>
      </w:r>
    </w:p>
    <w:p w:rsidR="00BE193D" w:rsidRDefault="00BE193D" w:rsidP="00BE193D">
      <w:pPr>
        <w:pStyle w:val="ListParagraph"/>
        <w:ind w:left="284" w:hanging="284"/>
      </w:pPr>
      <w:r>
        <w:t>Increase in next 12 months: 38% of businesses &lt; 5 years; 25% of businesses &gt; 5 years</w:t>
      </w:r>
    </w:p>
    <w:p w:rsidR="00D225D0" w:rsidRDefault="00D225D0" w:rsidP="00D225D0">
      <w:pPr>
        <w:pStyle w:val="Heading3"/>
      </w:pPr>
      <w:bookmarkStart w:id="39" w:name="_Toc394057530"/>
      <w:r>
        <w:t>Summary of employment growth by sector</w:t>
      </w:r>
      <w:bookmarkEnd w:id="39"/>
    </w:p>
    <w:p w:rsidR="004C1BFE" w:rsidRDefault="004C1BFE" w:rsidP="00D3684C">
      <w:pPr>
        <w:pStyle w:val="BodyText"/>
      </w:pPr>
      <w:r>
        <w:t xml:space="preserve">There has been a particularly high propensity for employment growth in production and construction sectors within the last 12 months, although agriculture/fishing shows greatest stability in workforce size.  </w:t>
      </w:r>
    </w:p>
    <w:p w:rsidR="004C1BFE" w:rsidRDefault="004C1BFE" w:rsidP="00D3684C">
      <w:pPr>
        <w:pStyle w:val="BodyText"/>
      </w:pPr>
      <w:r>
        <w:t xml:space="preserve">Within service sectors, public administration/education/health are significantly more likely than average to report employment growth.  </w:t>
      </w:r>
    </w:p>
    <w:p w:rsidR="0083619D" w:rsidRDefault="004C1BFE" w:rsidP="00D3684C">
      <w:pPr>
        <w:pStyle w:val="BodyText"/>
      </w:pPr>
      <w:r>
        <w:t>One in eight construction employers report a decrease in employment in the last 12 months, but going forward, they are significantly more likely than average to anticipate an increase.</w:t>
      </w:r>
    </w:p>
    <w:p w:rsidR="004C1BFE" w:rsidRDefault="004C1BFE" w:rsidP="00D3684C">
      <w:pPr>
        <w:pStyle w:val="BodyText"/>
      </w:pPr>
      <w:r>
        <w:t>The table below highlights the variability between the sectors in terms of growth and contraction of workforces.  There is evidence that some recent contraction is to be reversed in the next 12 months.</w:t>
      </w:r>
    </w:p>
    <w:p w:rsidR="00554699" w:rsidRDefault="00554699">
      <w:pPr>
        <w:spacing w:after="360"/>
        <w:rPr>
          <w:b/>
          <w:bCs/>
          <w:szCs w:val="18"/>
        </w:rPr>
      </w:pPr>
      <w:r>
        <w:br w:type="page"/>
      </w:r>
    </w:p>
    <w:p w:rsidR="0083619D" w:rsidRDefault="0083619D" w:rsidP="0083619D">
      <w:pPr>
        <w:pStyle w:val="Caption"/>
      </w:pPr>
      <w:r>
        <w:lastRenderedPageBreak/>
        <w:t>Table 5.5:  Employment change, recent and anticipated, by sector (all employers)</w:t>
      </w:r>
    </w:p>
    <w:tbl>
      <w:tblPr>
        <w:tblStyle w:val="LightList-Accent6"/>
        <w:tblW w:w="10033" w:type="dxa"/>
        <w:tblInd w:w="108" w:type="dxa"/>
        <w:tblLook w:val="04A0" w:firstRow="1" w:lastRow="0" w:firstColumn="1" w:lastColumn="0" w:noHBand="0" w:noVBand="1"/>
      </w:tblPr>
      <w:tblGrid>
        <w:gridCol w:w="2694"/>
        <w:gridCol w:w="1009"/>
        <w:gridCol w:w="660"/>
        <w:gridCol w:w="709"/>
        <w:gridCol w:w="708"/>
        <w:gridCol w:w="709"/>
        <w:gridCol w:w="709"/>
        <w:gridCol w:w="709"/>
        <w:gridCol w:w="708"/>
        <w:gridCol w:w="709"/>
        <w:gridCol w:w="709"/>
      </w:tblGrid>
      <w:tr w:rsidR="007C140E" w:rsidRPr="003C0922" w:rsidTr="00554699">
        <w:trPr>
          <w:cnfStyle w:val="100000000000" w:firstRow="1" w:lastRow="0" w:firstColumn="0" w:lastColumn="0" w:oddVBand="0" w:evenVBand="0" w:oddHBand="0" w:evenHBand="0" w:firstRowFirstColumn="0" w:firstRowLastColumn="0" w:lastRowFirstColumn="0" w:lastRowLastColumn="0"/>
          <w:cantSplit/>
          <w:trHeight w:val="2297"/>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C140E" w:rsidRPr="003C0922" w:rsidRDefault="007C140E" w:rsidP="004C1BFE">
            <w:pPr>
              <w:spacing w:before="60" w:after="60"/>
              <w:rPr>
                <w:rFonts w:cstheme="minorHAnsi"/>
                <w:b w:val="0"/>
                <w:sz w:val="20"/>
              </w:rPr>
            </w:pPr>
          </w:p>
        </w:tc>
        <w:tc>
          <w:tcPr>
            <w:tcW w:w="1009" w:type="dxa"/>
            <w:textDirection w:val="tbRl"/>
            <w:vAlign w:val="center"/>
          </w:tcPr>
          <w:p w:rsidR="007C140E" w:rsidRPr="00554699" w:rsidRDefault="007C140E" w:rsidP="004C1BFE">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554699">
              <w:rPr>
                <w:rFonts w:cstheme="minorHAnsi"/>
              </w:rPr>
              <w:t>Greater Lincolnshire</w:t>
            </w:r>
          </w:p>
        </w:tc>
        <w:tc>
          <w:tcPr>
            <w:tcW w:w="66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83619D" w:rsidRPr="004C1BFE" w:rsidTr="00BE1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3" w:type="dxa"/>
            <w:gridSpan w:val="11"/>
            <w:vAlign w:val="center"/>
          </w:tcPr>
          <w:p w:rsidR="0083619D" w:rsidRPr="004C1BFE" w:rsidRDefault="0083619D" w:rsidP="0082125A">
            <w:pPr>
              <w:spacing w:before="40" w:after="40"/>
              <w:rPr>
                <w:rFonts w:cstheme="minorHAnsi"/>
                <w:i/>
                <w:color w:val="000000"/>
              </w:rPr>
            </w:pPr>
            <w:r w:rsidRPr="004C1BFE">
              <w:rPr>
                <w:rFonts w:cstheme="minorHAnsi"/>
                <w:color w:val="000000"/>
                <w:sz w:val="20"/>
              </w:rPr>
              <w:t>In the last 12 months</w:t>
            </w:r>
          </w:p>
        </w:tc>
      </w:tr>
      <w:tr w:rsidR="0083619D" w:rsidTr="00BE193D">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82125A">
            <w:pPr>
              <w:spacing w:before="40" w:after="40"/>
              <w:rPr>
                <w:rFonts w:cstheme="minorHAnsi"/>
                <w:b w:val="0"/>
                <w:color w:val="000000"/>
                <w:sz w:val="20"/>
              </w:rPr>
            </w:pPr>
            <w:r>
              <w:rPr>
                <w:rFonts w:cstheme="minorHAnsi"/>
                <w:b w:val="0"/>
                <w:color w:val="000000"/>
                <w:sz w:val="20"/>
              </w:rPr>
              <w:t>Increased</w:t>
            </w:r>
          </w:p>
        </w:tc>
        <w:tc>
          <w:tcPr>
            <w:tcW w:w="1009" w:type="dxa"/>
            <w:tcBorders>
              <w:right w:val="single" w:sz="8" w:space="0" w:color="73A5D8" w:themeColor="accent6"/>
            </w:tcBorders>
            <w:vAlign w:val="center"/>
          </w:tcPr>
          <w:p w:rsidR="0083619D" w:rsidRPr="003C0922"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22</w:t>
            </w:r>
          </w:p>
        </w:tc>
        <w:tc>
          <w:tcPr>
            <w:tcW w:w="660"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3619D">
              <w:rPr>
                <w:rFonts w:cstheme="minorHAnsi"/>
                <w:i/>
                <w:color w:val="000000"/>
              </w:rPr>
              <w:t>11</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30</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26</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28</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26</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19</w:t>
            </w:r>
          </w:p>
        </w:tc>
        <w:tc>
          <w:tcPr>
            <w:tcW w:w="708"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20</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19</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3619D">
              <w:rPr>
                <w:rFonts w:cstheme="minorHAnsi"/>
                <w:b/>
                <w:color w:val="000000"/>
              </w:rPr>
              <w:t>28</w:t>
            </w:r>
          </w:p>
        </w:tc>
      </w:tr>
      <w:tr w:rsidR="0083619D" w:rsidTr="00BE1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82125A">
            <w:pPr>
              <w:spacing w:before="40" w:after="40"/>
              <w:rPr>
                <w:rFonts w:cstheme="minorHAnsi"/>
                <w:b w:val="0"/>
                <w:color w:val="000000"/>
                <w:sz w:val="20"/>
              </w:rPr>
            </w:pPr>
            <w:r>
              <w:rPr>
                <w:rFonts w:cstheme="minorHAnsi"/>
                <w:b w:val="0"/>
                <w:color w:val="000000"/>
                <w:sz w:val="20"/>
              </w:rPr>
              <w:t>Decreased</w:t>
            </w:r>
          </w:p>
        </w:tc>
        <w:tc>
          <w:tcPr>
            <w:tcW w:w="1009" w:type="dxa"/>
            <w:tcBorders>
              <w:right w:val="single" w:sz="8" w:space="0" w:color="73A5D8" w:themeColor="accent6"/>
            </w:tcBorders>
            <w:vAlign w:val="center"/>
          </w:tcPr>
          <w:p w:rsidR="0083619D" w:rsidRPr="003C0922"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9</w:t>
            </w:r>
          </w:p>
        </w:tc>
        <w:tc>
          <w:tcPr>
            <w:tcW w:w="660"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8</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4</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9</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10</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12</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10</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9</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7</w:t>
            </w:r>
          </w:p>
        </w:tc>
      </w:tr>
      <w:tr w:rsidR="0083619D" w:rsidTr="00BE193D">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82125A">
            <w:pPr>
              <w:spacing w:before="40" w:after="40"/>
              <w:rPr>
                <w:rFonts w:cstheme="minorHAnsi"/>
                <w:b w:val="0"/>
                <w:color w:val="000000"/>
                <w:sz w:val="20"/>
              </w:rPr>
            </w:pPr>
            <w:r>
              <w:rPr>
                <w:rFonts w:cstheme="minorHAnsi"/>
                <w:b w:val="0"/>
                <w:color w:val="000000"/>
                <w:sz w:val="20"/>
              </w:rPr>
              <w:t>Remained the same</w:t>
            </w:r>
          </w:p>
        </w:tc>
        <w:tc>
          <w:tcPr>
            <w:tcW w:w="1009" w:type="dxa"/>
            <w:tcBorders>
              <w:right w:val="single" w:sz="8" w:space="0" w:color="73A5D8" w:themeColor="accent6"/>
            </w:tcBorders>
            <w:vAlign w:val="center"/>
          </w:tcPr>
          <w:p w:rsidR="0083619D" w:rsidRPr="003C0922"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68</w:t>
            </w:r>
          </w:p>
        </w:tc>
        <w:tc>
          <w:tcPr>
            <w:tcW w:w="660"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3619D">
              <w:rPr>
                <w:rFonts w:cstheme="minorHAnsi"/>
                <w:b/>
                <w:color w:val="000000"/>
              </w:rPr>
              <w:t>81</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65</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65</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62</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62</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70</w:t>
            </w:r>
          </w:p>
        </w:tc>
        <w:tc>
          <w:tcPr>
            <w:tcW w:w="708"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69</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72</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65</w:t>
            </w:r>
          </w:p>
        </w:tc>
      </w:tr>
      <w:tr w:rsidR="0083619D" w:rsidRPr="004C1BFE" w:rsidTr="00BE1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3" w:type="dxa"/>
            <w:gridSpan w:val="11"/>
            <w:vAlign w:val="center"/>
          </w:tcPr>
          <w:p w:rsidR="0083619D" w:rsidRPr="004C1BFE" w:rsidRDefault="0083619D" w:rsidP="0082125A">
            <w:pPr>
              <w:spacing w:before="40" w:after="40"/>
              <w:rPr>
                <w:rFonts w:cstheme="minorHAnsi"/>
                <w:i/>
                <w:color w:val="000000"/>
              </w:rPr>
            </w:pPr>
            <w:r w:rsidRPr="004C1BFE">
              <w:rPr>
                <w:rFonts w:cstheme="minorHAnsi"/>
                <w:color w:val="000000"/>
                <w:sz w:val="20"/>
              </w:rPr>
              <w:t>In the next 12 months</w:t>
            </w:r>
          </w:p>
        </w:tc>
      </w:tr>
      <w:tr w:rsidR="0083619D" w:rsidTr="00BE193D">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82125A">
            <w:pPr>
              <w:spacing w:before="40" w:after="40"/>
              <w:rPr>
                <w:rFonts w:cstheme="minorHAnsi"/>
                <w:b w:val="0"/>
                <w:color w:val="000000"/>
                <w:sz w:val="20"/>
              </w:rPr>
            </w:pPr>
            <w:r>
              <w:rPr>
                <w:rFonts w:cstheme="minorHAnsi"/>
                <w:b w:val="0"/>
                <w:color w:val="000000"/>
                <w:sz w:val="20"/>
              </w:rPr>
              <w:t>Increase</w:t>
            </w:r>
          </w:p>
        </w:tc>
        <w:tc>
          <w:tcPr>
            <w:tcW w:w="1009" w:type="dxa"/>
            <w:tcBorders>
              <w:right w:val="single" w:sz="8" w:space="0" w:color="73A5D8" w:themeColor="accent6"/>
            </w:tcBorders>
            <w:vAlign w:val="center"/>
          </w:tcPr>
          <w:p w:rsidR="0083619D" w:rsidRPr="003C0922"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27</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3619D">
              <w:rPr>
                <w:rFonts w:cstheme="minorHAnsi"/>
                <w:i/>
                <w:color w:val="000000"/>
              </w:rPr>
              <w:t>10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17</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35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3619D">
              <w:rPr>
                <w:rFonts w:cstheme="minorHAnsi"/>
                <w:b/>
                <w:color w:val="000000"/>
              </w:rPr>
              <w:t>44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26</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25</w:t>
            </w:r>
          </w:p>
        </w:tc>
      </w:tr>
      <w:tr w:rsidR="0083619D" w:rsidTr="00BE1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82125A">
            <w:pPr>
              <w:spacing w:before="40" w:after="40"/>
              <w:rPr>
                <w:rFonts w:cstheme="minorHAnsi"/>
                <w:b w:val="0"/>
                <w:color w:val="000000"/>
                <w:sz w:val="20"/>
              </w:rPr>
            </w:pPr>
            <w:r>
              <w:rPr>
                <w:rFonts w:cstheme="minorHAnsi"/>
                <w:b w:val="0"/>
                <w:color w:val="000000"/>
                <w:sz w:val="20"/>
              </w:rPr>
              <w:t>Decrease</w:t>
            </w:r>
          </w:p>
        </w:tc>
        <w:tc>
          <w:tcPr>
            <w:tcW w:w="1009" w:type="dxa"/>
            <w:tcBorders>
              <w:right w:val="single" w:sz="8" w:space="0" w:color="73A5D8" w:themeColor="accent6"/>
            </w:tcBorders>
            <w:vAlign w:val="center"/>
          </w:tcPr>
          <w:p w:rsidR="0083619D" w:rsidRPr="003C0922"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w:t>
            </w:r>
          </w:p>
        </w:tc>
        <w:tc>
          <w:tcPr>
            <w:tcW w:w="660"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3619D">
              <w:rPr>
                <w:rFonts w:cstheme="minorHAnsi"/>
                <w:b/>
                <w:color w:val="000000"/>
              </w:rPr>
              <w:t>7</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4</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2</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2</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2</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3</w:t>
            </w:r>
          </w:p>
        </w:tc>
        <w:tc>
          <w:tcPr>
            <w:tcW w:w="708"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5</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3619D">
              <w:rPr>
                <w:rFonts w:cstheme="minorHAnsi"/>
                <w:color w:val="000000"/>
              </w:rPr>
              <w:t>0</w:t>
            </w:r>
          </w:p>
        </w:tc>
        <w:tc>
          <w:tcPr>
            <w:tcW w:w="709" w:type="dxa"/>
            <w:tcBorders>
              <w:left w:val="single" w:sz="8" w:space="0" w:color="73A5D8" w:themeColor="accent6"/>
            </w:tcBorders>
            <w:vAlign w:val="center"/>
          </w:tcPr>
          <w:p w:rsidR="0083619D" w:rsidRPr="0083619D" w:rsidRDefault="0083619D"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3619D">
              <w:rPr>
                <w:rFonts w:cstheme="minorHAnsi"/>
                <w:b/>
                <w:color w:val="000000"/>
              </w:rPr>
              <w:t>6</w:t>
            </w:r>
          </w:p>
        </w:tc>
      </w:tr>
      <w:tr w:rsidR="0083619D" w:rsidTr="00BE193D">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82125A">
            <w:pPr>
              <w:spacing w:before="40" w:after="40"/>
              <w:rPr>
                <w:rFonts w:cstheme="minorHAnsi"/>
                <w:b w:val="0"/>
                <w:color w:val="000000"/>
                <w:sz w:val="20"/>
              </w:rPr>
            </w:pPr>
            <w:r>
              <w:rPr>
                <w:rFonts w:cstheme="minorHAnsi"/>
                <w:b w:val="0"/>
                <w:color w:val="000000"/>
                <w:sz w:val="20"/>
              </w:rPr>
              <w:t>Remain the same</w:t>
            </w:r>
          </w:p>
        </w:tc>
        <w:tc>
          <w:tcPr>
            <w:tcW w:w="1009" w:type="dxa"/>
            <w:tcBorders>
              <w:right w:val="single" w:sz="8" w:space="0" w:color="73A5D8" w:themeColor="accent6"/>
            </w:tcBorders>
            <w:vAlign w:val="center"/>
          </w:tcPr>
          <w:p w:rsidR="0083619D" w:rsidRPr="003C0922"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68</w:t>
            </w:r>
          </w:p>
        </w:tc>
        <w:tc>
          <w:tcPr>
            <w:tcW w:w="660"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3619D">
              <w:rPr>
                <w:rFonts w:cstheme="minorHAnsi"/>
                <w:b/>
                <w:color w:val="000000"/>
              </w:rPr>
              <w:t>83</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79</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67</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61</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3619D">
              <w:rPr>
                <w:rFonts w:cstheme="minorHAnsi"/>
                <w:i/>
                <w:color w:val="000000"/>
              </w:rPr>
              <w:t>54</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69</w:t>
            </w:r>
          </w:p>
        </w:tc>
        <w:tc>
          <w:tcPr>
            <w:tcW w:w="708"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71</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71</w:t>
            </w:r>
          </w:p>
        </w:tc>
        <w:tc>
          <w:tcPr>
            <w:tcW w:w="709" w:type="dxa"/>
            <w:tcBorders>
              <w:left w:val="single" w:sz="8" w:space="0" w:color="73A5D8" w:themeColor="accent6"/>
              <w:right w:val="single" w:sz="8" w:space="0" w:color="73A5D8" w:themeColor="accent6"/>
            </w:tcBorders>
            <w:vAlign w:val="center"/>
          </w:tcPr>
          <w:p w:rsidR="0083619D" w:rsidRPr="0083619D" w:rsidRDefault="0083619D"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3619D">
              <w:rPr>
                <w:rFonts w:cstheme="minorHAnsi"/>
                <w:color w:val="000000"/>
              </w:rPr>
              <w:t>68</w:t>
            </w:r>
          </w:p>
        </w:tc>
      </w:tr>
      <w:tr w:rsidR="0083619D" w:rsidRPr="003C0922" w:rsidTr="00BE1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83619D" w:rsidRPr="003C0922" w:rsidRDefault="0083619D" w:rsidP="004C1BFE">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09" w:type="dxa"/>
            <w:tcBorders>
              <w:righ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1515</w:t>
            </w:r>
          </w:p>
        </w:tc>
        <w:tc>
          <w:tcPr>
            <w:tcW w:w="660" w:type="dxa"/>
            <w:tcBorders>
              <w:left w:val="single" w:sz="8" w:space="0" w:color="73A5D8" w:themeColor="accent6"/>
              <w:righ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75</w:t>
            </w:r>
          </w:p>
        </w:tc>
        <w:tc>
          <w:tcPr>
            <w:tcW w:w="709" w:type="dxa"/>
            <w:tcBorders>
              <w:left w:val="single" w:sz="8" w:space="0" w:color="73A5D8" w:themeColor="accent6"/>
              <w:righ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w:t>
            </w:r>
          </w:p>
        </w:tc>
        <w:tc>
          <w:tcPr>
            <w:tcW w:w="708" w:type="dxa"/>
            <w:tcBorders>
              <w:left w:val="single" w:sz="8" w:space="0" w:color="73A5D8" w:themeColor="accent6"/>
              <w:righ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325</w:t>
            </w:r>
          </w:p>
        </w:tc>
        <w:tc>
          <w:tcPr>
            <w:tcW w:w="709" w:type="dxa"/>
            <w:tcBorders>
              <w:lef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89</w:t>
            </w:r>
          </w:p>
        </w:tc>
        <w:tc>
          <w:tcPr>
            <w:tcW w:w="709" w:type="dxa"/>
            <w:tcBorders>
              <w:lef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133</w:t>
            </w:r>
          </w:p>
        </w:tc>
        <w:tc>
          <w:tcPr>
            <w:tcW w:w="709" w:type="dxa"/>
            <w:tcBorders>
              <w:lef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461</w:t>
            </w:r>
          </w:p>
        </w:tc>
        <w:tc>
          <w:tcPr>
            <w:tcW w:w="708" w:type="dxa"/>
            <w:tcBorders>
              <w:lef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95</w:t>
            </w:r>
          </w:p>
        </w:tc>
        <w:tc>
          <w:tcPr>
            <w:tcW w:w="709" w:type="dxa"/>
            <w:tcBorders>
              <w:lef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88</w:t>
            </w:r>
          </w:p>
        </w:tc>
        <w:tc>
          <w:tcPr>
            <w:tcW w:w="709" w:type="dxa"/>
            <w:tcBorders>
              <w:left w:val="single" w:sz="8" w:space="0" w:color="73A5D8" w:themeColor="accent6"/>
            </w:tcBorders>
            <w:vAlign w:val="center"/>
          </w:tcPr>
          <w:p w:rsidR="0083619D" w:rsidRPr="003C0922" w:rsidRDefault="0083619D" w:rsidP="004C1BF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231</w:t>
            </w:r>
          </w:p>
        </w:tc>
      </w:tr>
    </w:tbl>
    <w:p w:rsidR="0083619D" w:rsidRDefault="0083619D" w:rsidP="00D3684C">
      <w:pPr>
        <w:pStyle w:val="BodyText"/>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206CE3" w:rsidRDefault="00206CE3" w:rsidP="00206CE3">
      <w:pPr>
        <w:pStyle w:val="Heading3"/>
      </w:pPr>
      <w:bookmarkStart w:id="40" w:name="_Toc394057531"/>
      <w:r>
        <w:t>Business performance</w:t>
      </w:r>
      <w:bookmarkEnd w:id="40"/>
    </w:p>
    <w:p w:rsidR="008C0BFF" w:rsidRDefault="00876B73" w:rsidP="008C0BFF">
      <w:pPr>
        <w:pStyle w:val="BodyText"/>
      </w:pPr>
      <w:r>
        <w:t>In terms of anticipated</w:t>
      </w:r>
      <w:r w:rsidR="008C0BFF">
        <w:t xml:space="preserve"> changes in business performance amongst private sector organisations, over the </w:t>
      </w:r>
      <w:r>
        <w:t>next</w:t>
      </w:r>
      <w:r w:rsidR="008C0BFF">
        <w:t xml:space="preserve"> 12 months, </w:t>
      </w:r>
      <w:r w:rsidR="008043CE">
        <w:t xml:space="preserve">nearly three-quarters </w:t>
      </w:r>
      <w:r w:rsidR="008C0BFF">
        <w:t>(</w:t>
      </w:r>
      <w:r w:rsidR="008043CE">
        <w:t>72</w:t>
      </w:r>
      <w:r w:rsidR="008C0BFF">
        <w:t xml:space="preserve">%) </w:t>
      </w:r>
      <w:r w:rsidR="008043CE">
        <w:t>expect</w:t>
      </w:r>
      <w:r w:rsidR="008C0BFF">
        <w:t xml:space="preserve"> an increase in any financial measure including turnover, profitability, market share or sales.  This increases to 8</w:t>
      </w:r>
      <w:r w:rsidR="008043CE">
        <w:t>9</w:t>
      </w:r>
      <w:r w:rsidR="008C0BFF">
        <w:t xml:space="preserve">% of employers that report employment growth in </w:t>
      </w:r>
      <w:r w:rsidR="008043CE">
        <w:t>the last 12 months, suggesting that workforce expansion has had a positive impact on business performance, but also that it is an important element in driving improvements in business performance</w:t>
      </w:r>
      <w:r w:rsidR="008C0BFF">
        <w:t xml:space="preserve">. </w:t>
      </w:r>
    </w:p>
    <w:p w:rsidR="008C0BFF" w:rsidRDefault="008C0BFF" w:rsidP="008C0BFF">
      <w:pPr>
        <w:pStyle w:val="BodyText"/>
      </w:pPr>
      <w:r>
        <w:t xml:space="preserve">Around </w:t>
      </w:r>
      <w:r w:rsidR="008043CE">
        <w:t>two-thirds</w:t>
      </w:r>
      <w:r>
        <w:t xml:space="preserve"> </w:t>
      </w:r>
      <w:r w:rsidR="008043CE">
        <w:t>anticipate</w:t>
      </w:r>
      <w:r>
        <w:t xml:space="preserve"> an increase in turnover (</w:t>
      </w:r>
      <w:r w:rsidR="008043CE">
        <w:t>66</w:t>
      </w:r>
      <w:r>
        <w:t>%) and/or profitability (</w:t>
      </w:r>
      <w:r w:rsidR="008043CE">
        <w:t>65</w:t>
      </w:r>
      <w:r>
        <w:t xml:space="preserve">%) in the last 12 months.   Fewer </w:t>
      </w:r>
      <w:r w:rsidR="0005403E">
        <w:t>anticipate</w:t>
      </w:r>
      <w:r>
        <w:t xml:space="preserve"> an increase in domestic sales (</w:t>
      </w:r>
      <w:r w:rsidR="008043CE">
        <w:t>51</w:t>
      </w:r>
      <w:r>
        <w:t>%) and/or market share (</w:t>
      </w:r>
      <w:r w:rsidR="008043CE">
        <w:t>46</w:t>
      </w:r>
      <w:r>
        <w:t>%), while more than half of those that export (5</w:t>
      </w:r>
      <w:r w:rsidR="008043CE">
        <w:t>3</w:t>
      </w:r>
      <w:r>
        <w:t xml:space="preserve">%) </w:t>
      </w:r>
      <w:r w:rsidR="008043CE">
        <w:t>anticipate</w:t>
      </w:r>
      <w:r>
        <w:t xml:space="preserve"> an increase in overseas sales.</w:t>
      </w:r>
    </w:p>
    <w:p w:rsidR="008C0BFF" w:rsidRDefault="008C0BFF" w:rsidP="008C0BFF">
      <w:pPr>
        <w:pStyle w:val="Caption"/>
      </w:pPr>
      <w:r>
        <w:lastRenderedPageBreak/>
        <w:t>Figure 5.</w:t>
      </w:r>
      <w:r w:rsidR="0083619D">
        <w:t>6</w:t>
      </w:r>
      <w:r>
        <w:t xml:space="preserve">:   Proportion of employers that </w:t>
      </w:r>
      <w:r w:rsidR="006308B2">
        <w:t>anticipate</w:t>
      </w:r>
      <w:r>
        <w:t xml:space="preserve"> increases in financial performance measures in the </w:t>
      </w:r>
      <w:r w:rsidR="006308B2">
        <w:t>next</w:t>
      </w:r>
      <w:r>
        <w:t xml:space="preserve"> 12 months (all private sector employers) </w:t>
      </w:r>
    </w:p>
    <w:p w:rsidR="008C0BFF" w:rsidRDefault="006308B2" w:rsidP="008C0BFF">
      <w:pPr>
        <w:pStyle w:val="Caption"/>
      </w:pPr>
      <w:r w:rsidRPr="006308B2">
        <w:rPr>
          <w:noProof/>
          <w:lang w:eastAsia="en-GB"/>
        </w:rPr>
        <w:drawing>
          <wp:inline distT="0" distB="0" distL="0" distR="0">
            <wp:extent cx="5876925" cy="3505200"/>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0BFF" w:rsidRDefault="008C0BFF" w:rsidP="008C0BFF">
      <w:pPr>
        <w:pStyle w:val="BodyText"/>
        <w:rPr>
          <w:rFonts w:cs="Arial"/>
          <w:sz w:val="18"/>
        </w:rPr>
      </w:pPr>
      <w:r>
        <w:rPr>
          <w:rFonts w:cs="Arial"/>
          <w:sz w:val="18"/>
        </w:rPr>
        <w:t>Unweighted sample base = 1466     *Unweighted sample base (where export) = 197</w:t>
      </w:r>
    </w:p>
    <w:p w:rsidR="008C0BFF" w:rsidRPr="0073300F" w:rsidRDefault="008C0BFF" w:rsidP="008C0BFF">
      <w:pPr>
        <w:pStyle w:val="BodyText"/>
        <w:rPr>
          <w:sz w:val="18"/>
        </w:rPr>
      </w:pPr>
      <w:r>
        <w:rPr>
          <w:rFonts w:cs="Arial"/>
          <w:sz w:val="18"/>
        </w:rPr>
        <w:t>QE</w:t>
      </w:r>
      <w:r w:rsidR="006308B2">
        <w:rPr>
          <w:rFonts w:cs="Arial"/>
          <w:sz w:val="18"/>
        </w:rPr>
        <w:t>3</w:t>
      </w:r>
      <w:r w:rsidRPr="0073300F">
        <w:rPr>
          <w:rFonts w:cs="Arial"/>
          <w:sz w:val="18"/>
        </w:rPr>
        <w:t xml:space="preserve">.  </w:t>
      </w:r>
      <w:r>
        <w:rPr>
          <w:rFonts w:cs="Arial"/>
          <w:sz w:val="18"/>
        </w:rPr>
        <w:t xml:space="preserve">Over the </w:t>
      </w:r>
      <w:r w:rsidR="006308B2">
        <w:rPr>
          <w:rFonts w:cs="Arial"/>
          <w:sz w:val="18"/>
        </w:rPr>
        <w:t>next</w:t>
      </w:r>
      <w:r>
        <w:rPr>
          <w:rFonts w:cs="Arial"/>
          <w:sz w:val="18"/>
        </w:rPr>
        <w:t xml:space="preserve"> 12 months, </w:t>
      </w:r>
      <w:r w:rsidR="006308B2">
        <w:rPr>
          <w:rFonts w:cs="Arial"/>
          <w:sz w:val="18"/>
        </w:rPr>
        <w:t>do you expect your company to experience an increase in any of the following</w:t>
      </w:r>
      <w:r>
        <w:rPr>
          <w:rFonts w:cs="Arial"/>
          <w:sz w:val="18"/>
        </w:rPr>
        <w:t>?</w:t>
      </w:r>
    </w:p>
    <w:p w:rsidR="00F90A4A" w:rsidRDefault="00F90A4A" w:rsidP="008C0BFF">
      <w:pPr>
        <w:pStyle w:val="BodyText"/>
      </w:pPr>
      <w:r>
        <w:t>The differences by business size that were so apparent for recent growth are not present with regard to anticipated growth.  However, there are varying degrees of optimism by sector.   Employers within the sectors of banking/finance/insurance, construction and, to a lesser extent, distribution/hotels/restaurants, are more likely than average to anticipate an increase in any of these performance measures.</w:t>
      </w:r>
    </w:p>
    <w:p w:rsidR="00F9217E" w:rsidRDefault="00F9217E">
      <w:pPr>
        <w:spacing w:after="360"/>
        <w:rPr>
          <w:b/>
          <w:bCs/>
          <w:szCs w:val="18"/>
        </w:rPr>
      </w:pPr>
      <w:r>
        <w:br w:type="page"/>
      </w:r>
    </w:p>
    <w:p w:rsidR="008C0BFF" w:rsidRDefault="008C0BFF" w:rsidP="008C0BFF">
      <w:pPr>
        <w:pStyle w:val="Caption"/>
      </w:pPr>
      <w:r>
        <w:lastRenderedPageBreak/>
        <w:t>Table 5.</w:t>
      </w:r>
      <w:r w:rsidR="00E53693">
        <w:t>7</w:t>
      </w:r>
      <w:r>
        <w:t>:  Proportion of employers that have experienced increases in financial performance measures in the last 12 months, by employer size (all private sector employers)</w:t>
      </w:r>
    </w:p>
    <w:tbl>
      <w:tblPr>
        <w:tblStyle w:val="LightList-Accent6"/>
        <w:tblW w:w="9639" w:type="dxa"/>
        <w:tblInd w:w="108" w:type="dxa"/>
        <w:tblLook w:val="04A0" w:firstRow="1" w:lastRow="0" w:firstColumn="1" w:lastColumn="0" w:noHBand="0" w:noVBand="1"/>
      </w:tblPr>
      <w:tblGrid>
        <w:gridCol w:w="1543"/>
        <w:gridCol w:w="1009"/>
        <w:gridCol w:w="757"/>
        <w:gridCol w:w="660"/>
        <w:gridCol w:w="709"/>
        <w:gridCol w:w="708"/>
        <w:gridCol w:w="709"/>
        <w:gridCol w:w="709"/>
        <w:gridCol w:w="709"/>
        <w:gridCol w:w="708"/>
        <w:gridCol w:w="709"/>
        <w:gridCol w:w="709"/>
      </w:tblGrid>
      <w:tr w:rsidR="007C140E" w:rsidRPr="003C0922" w:rsidTr="0082125A">
        <w:trPr>
          <w:cnfStyle w:val="100000000000" w:firstRow="1" w:lastRow="0" w:firstColumn="0" w:lastColumn="0" w:oddVBand="0" w:evenVBand="0" w:oddHBand="0" w:evenHBand="0" w:firstRowFirstColumn="0" w:firstRowLastColumn="0" w:lastRowFirstColumn="0" w:lastRowLastColumn="0"/>
          <w:cantSplit/>
          <w:trHeight w:val="2219"/>
        </w:trPr>
        <w:tc>
          <w:tcPr>
            <w:cnfStyle w:val="001000000000" w:firstRow="0" w:lastRow="0" w:firstColumn="1" w:lastColumn="0" w:oddVBand="0" w:evenVBand="0" w:oddHBand="0" w:evenHBand="0" w:firstRowFirstColumn="0" w:firstRowLastColumn="0" w:lastRowFirstColumn="0" w:lastRowLastColumn="0"/>
            <w:tcW w:w="1543" w:type="dxa"/>
            <w:vAlign w:val="center"/>
          </w:tcPr>
          <w:p w:rsidR="007C140E" w:rsidRPr="003C0922" w:rsidRDefault="007C140E" w:rsidP="00876B73">
            <w:pPr>
              <w:spacing w:before="60" w:after="60"/>
              <w:rPr>
                <w:rFonts w:cstheme="minorHAnsi"/>
                <w:b w:val="0"/>
                <w:sz w:val="20"/>
              </w:rPr>
            </w:pPr>
          </w:p>
        </w:tc>
        <w:tc>
          <w:tcPr>
            <w:tcW w:w="1009" w:type="dxa"/>
            <w:textDirection w:val="tbRl"/>
            <w:vAlign w:val="center"/>
          </w:tcPr>
          <w:p w:rsidR="007C140E" w:rsidRPr="0082125A" w:rsidRDefault="007C140E" w:rsidP="00F90A4A">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Greater Lincolnshire</w:t>
            </w:r>
          </w:p>
        </w:tc>
        <w:tc>
          <w:tcPr>
            <w:tcW w:w="757" w:type="dxa"/>
            <w:tcBorders>
              <w:bottom w:val="single" w:sz="8" w:space="0" w:color="73A5D8" w:themeColor="accent6"/>
            </w:tcBorders>
            <w:textDirection w:val="tbRl"/>
            <w:vAlign w:val="center"/>
          </w:tcPr>
          <w:p w:rsidR="007C140E" w:rsidRPr="0082125A" w:rsidRDefault="007C140E" w:rsidP="00F90A4A">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Lincolnshire county</w:t>
            </w:r>
          </w:p>
        </w:tc>
        <w:tc>
          <w:tcPr>
            <w:tcW w:w="66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F90A4A" w:rsidTr="00B0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color w:val="000000"/>
                <w:sz w:val="20"/>
              </w:rPr>
            </w:pPr>
            <w:r>
              <w:rPr>
                <w:rFonts w:cstheme="minorHAnsi"/>
                <w:b w:val="0"/>
                <w:color w:val="000000"/>
                <w:sz w:val="20"/>
              </w:rPr>
              <w:t>Profitability</w:t>
            </w:r>
          </w:p>
        </w:tc>
        <w:tc>
          <w:tcPr>
            <w:tcW w:w="1009" w:type="dxa"/>
            <w:tcBorders>
              <w:right w:val="single" w:sz="8" w:space="0" w:color="73A5D8" w:themeColor="accent6"/>
            </w:tcBorders>
            <w:vAlign w:val="center"/>
          </w:tcPr>
          <w:p w:rsidR="00F90A4A" w:rsidRPr="003C0922"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65</w:t>
            </w:r>
          </w:p>
        </w:tc>
        <w:tc>
          <w:tcPr>
            <w:tcW w:w="757"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65</w:t>
            </w:r>
          </w:p>
        </w:tc>
        <w:tc>
          <w:tcPr>
            <w:tcW w:w="660"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43</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65</w:t>
            </w:r>
          </w:p>
        </w:tc>
        <w:tc>
          <w:tcPr>
            <w:tcW w:w="708"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73</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66</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74</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70</w:t>
            </w:r>
          </w:p>
        </w:tc>
        <w:tc>
          <w:tcPr>
            <w:tcW w:w="708"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61</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217E">
              <w:rPr>
                <w:rFonts w:cstheme="minorHAnsi"/>
                <w:color w:val="000000"/>
              </w:rPr>
              <w:t>57</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9217E">
              <w:rPr>
                <w:rFonts w:cstheme="minorHAnsi"/>
                <w:i/>
                <w:color w:val="000000"/>
              </w:rPr>
              <w:t>46</w:t>
            </w:r>
          </w:p>
        </w:tc>
      </w:tr>
      <w:tr w:rsidR="00F90A4A" w:rsidTr="00B07DA1">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color w:val="000000"/>
                <w:sz w:val="20"/>
              </w:rPr>
            </w:pPr>
            <w:r>
              <w:rPr>
                <w:rFonts w:cstheme="minorHAnsi"/>
                <w:b w:val="0"/>
                <w:color w:val="000000"/>
                <w:sz w:val="20"/>
              </w:rPr>
              <w:t>Turnover</w:t>
            </w:r>
          </w:p>
        </w:tc>
        <w:tc>
          <w:tcPr>
            <w:tcW w:w="1009" w:type="dxa"/>
            <w:tcBorders>
              <w:right w:val="single" w:sz="8" w:space="0" w:color="73A5D8" w:themeColor="accent6"/>
            </w:tcBorders>
            <w:vAlign w:val="center"/>
          </w:tcPr>
          <w:p w:rsidR="00F90A4A" w:rsidRPr="003C0922"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66</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66</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9217E">
              <w:rPr>
                <w:rFonts w:cstheme="minorHAnsi"/>
                <w:i/>
                <w:color w:val="000000"/>
              </w:rPr>
              <w:t>36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69</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73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75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71</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9217E">
              <w:rPr>
                <w:rFonts w:cstheme="minorHAnsi"/>
                <w:i/>
                <w:color w:val="000000"/>
              </w:rPr>
              <w:t>50</w:t>
            </w:r>
          </w:p>
        </w:tc>
      </w:tr>
      <w:tr w:rsidR="00F90A4A" w:rsidTr="00B0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color w:val="000000"/>
                <w:sz w:val="20"/>
              </w:rPr>
            </w:pPr>
            <w:r>
              <w:rPr>
                <w:rFonts w:cstheme="minorHAnsi"/>
                <w:b w:val="0"/>
                <w:color w:val="000000"/>
                <w:sz w:val="20"/>
              </w:rPr>
              <w:t>Market share</w:t>
            </w:r>
          </w:p>
        </w:tc>
        <w:tc>
          <w:tcPr>
            <w:tcW w:w="1009" w:type="dxa"/>
            <w:tcBorders>
              <w:right w:val="single" w:sz="8" w:space="0" w:color="73A5D8" w:themeColor="accent6"/>
            </w:tcBorders>
            <w:vAlign w:val="center"/>
          </w:tcPr>
          <w:p w:rsidR="00F90A4A" w:rsidRPr="003C0922"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46</w:t>
            </w:r>
          </w:p>
        </w:tc>
        <w:tc>
          <w:tcPr>
            <w:tcW w:w="757"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46</w:t>
            </w:r>
          </w:p>
        </w:tc>
        <w:tc>
          <w:tcPr>
            <w:tcW w:w="660"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9217E">
              <w:rPr>
                <w:rFonts w:cstheme="minorHAnsi"/>
                <w:i/>
                <w:color w:val="000000"/>
              </w:rPr>
              <w:t>16</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50</w:t>
            </w:r>
          </w:p>
        </w:tc>
        <w:tc>
          <w:tcPr>
            <w:tcW w:w="708"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56</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51</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56</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49</w:t>
            </w:r>
          </w:p>
        </w:tc>
        <w:tc>
          <w:tcPr>
            <w:tcW w:w="708"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41</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45</w:t>
            </w:r>
          </w:p>
        </w:tc>
        <w:tc>
          <w:tcPr>
            <w:tcW w:w="709" w:type="dxa"/>
            <w:tcBorders>
              <w:left w:val="single" w:sz="8" w:space="0" w:color="73A5D8" w:themeColor="accent6"/>
            </w:tcBorders>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9217E">
              <w:rPr>
                <w:rFonts w:cstheme="minorHAnsi"/>
                <w:i/>
                <w:color w:val="000000"/>
              </w:rPr>
              <w:t>30</w:t>
            </w:r>
          </w:p>
        </w:tc>
      </w:tr>
      <w:tr w:rsidR="00F90A4A" w:rsidTr="00F9217E">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color w:val="000000"/>
                <w:sz w:val="20"/>
              </w:rPr>
            </w:pPr>
            <w:r>
              <w:rPr>
                <w:rFonts w:cstheme="minorHAnsi"/>
                <w:b w:val="0"/>
                <w:color w:val="000000"/>
                <w:sz w:val="20"/>
              </w:rPr>
              <w:t>Domestic sales</w:t>
            </w:r>
          </w:p>
        </w:tc>
        <w:tc>
          <w:tcPr>
            <w:tcW w:w="1009" w:type="dxa"/>
            <w:tcBorders>
              <w:right w:val="single" w:sz="8" w:space="0" w:color="73A5D8" w:themeColor="accent6"/>
            </w:tcBorders>
            <w:vAlign w:val="center"/>
          </w:tcPr>
          <w:p w:rsidR="00F90A4A" w:rsidRPr="003C0922"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51</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51</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71</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60</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43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43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9217E">
              <w:rPr>
                <w:rFonts w:cstheme="minorHAnsi"/>
                <w:i/>
                <w:color w:val="000000"/>
              </w:rPr>
              <w:t>25</w:t>
            </w:r>
          </w:p>
        </w:tc>
      </w:tr>
      <w:tr w:rsidR="00F90A4A" w:rsidTr="00F92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color w:val="000000"/>
                <w:sz w:val="20"/>
              </w:rPr>
            </w:pPr>
            <w:r>
              <w:rPr>
                <w:rFonts w:cstheme="minorHAnsi"/>
                <w:b w:val="0"/>
                <w:color w:val="000000"/>
                <w:sz w:val="20"/>
              </w:rPr>
              <w:t xml:space="preserve">None of the above </w:t>
            </w:r>
          </w:p>
        </w:tc>
        <w:tc>
          <w:tcPr>
            <w:tcW w:w="1009" w:type="dxa"/>
            <w:tcBorders>
              <w:right w:val="single" w:sz="8" w:space="0" w:color="73A5D8" w:themeColor="accent6"/>
            </w:tcBorders>
            <w:vAlign w:val="center"/>
          </w:tcPr>
          <w:p w:rsidR="00F90A4A" w:rsidRPr="003C0922"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w:t>
            </w:r>
          </w:p>
        </w:tc>
        <w:tc>
          <w:tcPr>
            <w:tcW w:w="757"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w:t>
            </w:r>
          </w:p>
        </w:tc>
        <w:tc>
          <w:tcPr>
            <w:tcW w:w="660"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34</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25</w:t>
            </w:r>
          </w:p>
        </w:tc>
        <w:tc>
          <w:tcPr>
            <w:tcW w:w="708"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19</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14</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15</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9217E">
              <w:rPr>
                <w:rFonts w:cstheme="minorHAnsi"/>
                <w:i/>
                <w:color w:val="000000"/>
              </w:rPr>
              <w:t>15</w:t>
            </w:r>
          </w:p>
        </w:tc>
        <w:tc>
          <w:tcPr>
            <w:tcW w:w="708"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27</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31</w:t>
            </w:r>
          </w:p>
        </w:tc>
        <w:tc>
          <w:tcPr>
            <w:tcW w:w="709" w:type="dxa"/>
            <w:tcBorders>
              <w:left w:val="single" w:sz="8" w:space="0" w:color="73A5D8" w:themeColor="accent6"/>
            </w:tcBorders>
            <w:vAlign w:val="center"/>
          </w:tcPr>
          <w:p w:rsidR="00F90A4A" w:rsidRPr="00F9217E" w:rsidRDefault="00F9217E"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9217E">
              <w:rPr>
                <w:rFonts w:cstheme="minorHAnsi"/>
                <w:b/>
                <w:color w:val="000000"/>
              </w:rPr>
              <w:t>31</w:t>
            </w:r>
          </w:p>
        </w:tc>
      </w:tr>
      <w:tr w:rsidR="00F90A4A" w:rsidTr="00F9217E">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color w:val="000000"/>
                <w:sz w:val="20"/>
              </w:rPr>
            </w:pPr>
            <w:r>
              <w:rPr>
                <w:rFonts w:cstheme="minorHAnsi"/>
                <w:b w:val="0"/>
                <w:color w:val="000000"/>
                <w:sz w:val="20"/>
              </w:rPr>
              <w:t>Any of the above</w:t>
            </w:r>
          </w:p>
        </w:tc>
        <w:tc>
          <w:tcPr>
            <w:tcW w:w="1009" w:type="dxa"/>
            <w:tcBorders>
              <w:right w:val="single" w:sz="8" w:space="0" w:color="73A5D8" w:themeColor="accent6"/>
            </w:tcBorders>
            <w:vAlign w:val="center"/>
          </w:tcPr>
          <w:p w:rsidR="00F90A4A" w:rsidRPr="003C0922"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72</w:t>
            </w:r>
          </w:p>
        </w:tc>
        <w:tc>
          <w:tcPr>
            <w:tcW w:w="757"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72</w:t>
            </w:r>
          </w:p>
        </w:tc>
        <w:tc>
          <w:tcPr>
            <w:tcW w:w="660"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9217E">
              <w:rPr>
                <w:rFonts w:cstheme="minorHAnsi"/>
                <w:i/>
                <w:color w:val="000000"/>
              </w:rPr>
              <w:t>51</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75</w:t>
            </w:r>
          </w:p>
        </w:tc>
        <w:tc>
          <w:tcPr>
            <w:tcW w:w="708"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78</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77</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82</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9217E">
              <w:rPr>
                <w:rFonts w:cstheme="minorHAnsi"/>
                <w:b/>
                <w:color w:val="000000"/>
              </w:rPr>
              <w:t>77</w:t>
            </w:r>
          </w:p>
        </w:tc>
        <w:tc>
          <w:tcPr>
            <w:tcW w:w="708"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66</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66</w:t>
            </w:r>
          </w:p>
        </w:tc>
        <w:tc>
          <w:tcPr>
            <w:tcW w:w="709" w:type="dxa"/>
            <w:tcBorders>
              <w:left w:val="single" w:sz="8" w:space="0" w:color="73A5D8" w:themeColor="accent6"/>
              <w:right w:val="single" w:sz="8" w:space="0" w:color="73A5D8" w:themeColor="accent6"/>
            </w:tcBorders>
            <w:vAlign w:val="center"/>
          </w:tcPr>
          <w:p w:rsidR="00F90A4A" w:rsidRPr="00F9217E" w:rsidRDefault="00F9217E" w:rsidP="0082125A">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9217E">
              <w:rPr>
                <w:rFonts w:cstheme="minorHAnsi"/>
                <w:i/>
                <w:color w:val="000000"/>
              </w:rPr>
              <w:t>55</w:t>
            </w:r>
          </w:p>
        </w:tc>
      </w:tr>
      <w:tr w:rsidR="00F90A4A" w:rsidRPr="003C0922" w:rsidTr="00B0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vAlign w:val="center"/>
          </w:tcPr>
          <w:p w:rsidR="00F90A4A" w:rsidRPr="003C0922" w:rsidRDefault="00F90A4A" w:rsidP="0082125A">
            <w:pPr>
              <w:spacing w:before="40" w:after="4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09" w:type="dxa"/>
            <w:tcBorders>
              <w:right w:val="single" w:sz="8" w:space="0" w:color="73A5D8" w:themeColor="accent6"/>
            </w:tcBorders>
            <w:vAlign w:val="center"/>
          </w:tcPr>
          <w:p w:rsidR="00F90A4A" w:rsidRPr="003C0922" w:rsidRDefault="00F90A4A"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1466</w:t>
            </w:r>
          </w:p>
        </w:tc>
        <w:tc>
          <w:tcPr>
            <w:tcW w:w="757" w:type="dxa"/>
            <w:tcBorders>
              <w:left w:val="single" w:sz="8" w:space="0" w:color="73A5D8" w:themeColor="accent6"/>
              <w:right w:val="single" w:sz="8" w:space="0" w:color="73A5D8" w:themeColor="accent6"/>
            </w:tcBorders>
            <w:vAlign w:val="center"/>
          </w:tcPr>
          <w:p w:rsidR="00F90A4A" w:rsidRPr="003C0922" w:rsidRDefault="00F90A4A"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1099</w:t>
            </w:r>
          </w:p>
        </w:tc>
        <w:tc>
          <w:tcPr>
            <w:tcW w:w="660" w:type="dxa"/>
            <w:tcBorders>
              <w:left w:val="single" w:sz="8" w:space="0" w:color="73A5D8" w:themeColor="accent6"/>
              <w:righ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75</w:t>
            </w:r>
          </w:p>
        </w:tc>
        <w:tc>
          <w:tcPr>
            <w:tcW w:w="709" w:type="dxa"/>
            <w:tcBorders>
              <w:left w:val="single" w:sz="8" w:space="0" w:color="73A5D8" w:themeColor="accent6"/>
              <w:righ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w:t>
            </w:r>
          </w:p>
        </w:tc>
        <w:tc>
          <w:tcPr>
            <w:tcW w:w="708" w:type="dxa"/>
            <w:tcBorders>
              <w:left w:val="single" w:sz="8" w:space="0" w:color="73A5D8" w:themeColor="accent6"/>
              <w:righ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325</w:t>
            </w:r>
          </w:p>
        </w:tc>
        <w:tc>
          <w:tcPr>
            <w:tcW w:w="709" w:type="dxa"/>
            <w:tcBorders>
              <w:lef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89</w:t>
            </w:r>
          </w:p>
        </w:tc>
        <w:tc>
          <w:tcPr>
            <w:tcW w:w="709" w:type="dxa"/>
            <w:tcBorders>
              <w:lef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133</w:t>
            </w:r>
          </w:p>
        </w:tc>
        <w:tc>
          <w:tcPr>
            <w:tcW w:w="709" w:type="dxa"/>
            <w:tcBorders>
              <w:lef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461</w:t>
            </w:r>
          </w:p>
        </w:tc>
        <w:tc>
          <w:tcPr>
            <w:tcW w:w="708" w:type="dxa"/>
            <w:tcBorders>
              <w:lef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95</w:t>
            </w:r>
          </w:p>
        </w:tc>
        <w:tc>
          <w:tcPr>
            <w:tcW w:w="709" w:type="dxa"/>
            <w:tcBorders>
              <w:lef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88</w:t>
            </w:r>
          </w:p>
        </w:tc>
        <w:tc>
          <w:tcPr>
            <w:tcW w:w="709" w:type="dxa"/>
            <w:tcBorders>
              <w:left w:val="single" w:sz="8" w:space="0" w:color="73A5D8" w:themeColor="accent6"/>
            </w:tcBorders>
            <w:vAlign w:val="center"/>
          </w:tcPr>
          <w:p w:rsidR="00F90A4A" w:rsidRPr="003C0922" w:rsidRDefault="00B07DA1" w:rsidP="0082125A">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182</w:t>
            </w:r>
          </w:p>
        </w:tc>
      </w:tr>
    </w:tbl>
    <w:p w:rsidR="008C0BFF" w:rsidRDefault="008C0BFF" w:rsidP="008C0BFF">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8C0BFF" w:rsidRDefault="0031535A" w:rsidP="008C0BFF">
      <w:pPr>
        <w:pStyle w:val="BodyText"/>
      </w:pPr>
      <w:r>
        <w:t xml:space="preserve">There is little variance across the geography of Greater Lincolnshire in respect of these financial measures.  </w:t>
      </w:r>
      <w:r w:rsidR="00A7041A">
        <w:t>Although, employers in North Kesteven are less likely than average to have experienced any increases in these measures in the last 12 months (37% have not, compared with an average of 30% across the Greater Lincolnshire area).</w:t>
      </w:r>
    </w:p>
    <w:p w:rsidR="00310C0B" w:rsidRDefault="00310C0B" w:rsidP="00D135B0">
      <w:pPr>
        <w:pStyle w:val="Heading2"/>
      </w:pPr>
      <w:bookmarkStart w:id="41" w:name="_Toc394057532"/>
      <w:r>
        <w:t>Business planning</w:t>
      </w:r>
      <w:bookmarkEnd w:id="41"/>
    </w:p>
    <w:p w:rsidR="00310C0B" w:rsidRDefault="00BE193D" w:rsidP="00310C0B">
      <w:pPr>
        <w:pStyle w:val="BodyText"/>
      </w:pPr>
      <w:r>
        <w:t>Around half of all private sector businesses (49%) have a</w:t>
      </w:r>
      <w:r w:rsidR="00810571">
        <w:t xml:space="preserve"> formal written</w:t>
      </w:r>
      <w:r>
        <w:t xml:space="preserve"> business plan and in the majority of these cases (43%) it is kept up to date. </w:t>
      </w:r>
    </w:p>
    <w:p w:rsidR="00BE193D" w:rsidRDefault="00BE193D" w:rsidP="00310C0B">
      <w:pPr>
        <w:pStyle w:val="BodyText"/>
      </w:pPr>
      <w:r>
        <w:t>This proportion that have a business plan that is kept up to date increases with business size to 77% of businesses with 25 to 99 staff and 89% of 100+ employers.  Four per cent of all businesses with 25 or more staff have a business plan but do not keep it up to date.</w:t>
      </w:r>
    </w:p>
    <w:p w:rsidR="00BE193D" w:rsidRDefault="00454B20" w:rsidP="00310C0B">
      <w:pPr>
        <w:pStyle w:val="BodyText"/>
      </w:pPr>
      <w:r>
        <w:t>Business size is the key determinant of formal business planning processes and this is also reflected in the fact that more than three-fifths of multi-site businesses (64%) have a business plan, compared with just 33% of single site businesses.</w:t>
      </w:r>
    </w:p>
    <w:p w:rsidR="00454B20" w:rsidRDefault="00810571" w:rsidP="00310C0B">
      <w:pPr>
        <w:pStyle w:val="BodyText"/>
      </w:pPr>
      <w:r>
        <w:t>Innovating businesses are also significantly more likely to have formal written business plans than those that have not introduced any new products, services or processes in the last 12 months (61%, compared with 32%).</w:t>
      </w:r>
    </w:p>
    <w:p w:rsidR="0082125A" w:rsidRDefault="0082125A">
      <w:pPr>
        <w:spacing w:after="360"/>
        <w:rPr>
          <w:rFonts w:asciiTheme="majorHAnsi" w:eastAsiaTheme="majorEastAsia" w:hAnsiTheme="majorHAnsi" w:cstheme="majorBidi"/>
          <w:b/>
          <w:bCs/>
          <w:color w:val="0075A4"/>
          <w:sz w:val="26"/>
          <w:szCs w:val="26"/>
        </w:rPr>
      </w:pPr>
      <w:r>
        <w:br w:type="page"/>
      </w:r>
    </w:p>
    <w:p w:rsidR="00D135B0" w:rsidRDefault="00D135B0" w:rsidP="00D135B0">
      <w:pPr>
        <w:pStyle w:val="Heading2"/>
      </w:pPr>
      <w:bookmarkStart w:id="42" w:name="_Toc394057533"/>
      <w:r>
        <w:lastRenderedPageBreak/>
        <w:t>Innovation</w:t>
      </w:r>
      <w:bookmarkEnd w:id="42"/>
    </w:p>
    <w:p w:rsidR="00E53693" w:rsidRPr="00E53693" w:rsidRDefault="00E53693" w:rsidP="00E53693">
      <w:pPr>
        <w:pStyle w:val="Heading3"/>
      </w:pPr>
      <w:bookmarkStart w:id="43" w:name="_Toc394057534"/>
      <w:r>
        <w:t>New products and services</w:t>
      </w:r>
      <w:bookmarkEnd w:id="43"/>
    </w:p>
    <w:p w:rsidR="00C71C1D" w:rsidRDefault="0031535A" w:rsidP="00D135B0">
      <w:pPr>
        <w:pStyle w:val="BodyText"/>
      </w:pPr>
      <w:r>
        <w:t>Approaching two-fifths of private sector businesses (38%)</w:t>
      </w:r>
      <w:r w:rsidR="00A7041A">
        <w:t xml:space="preserve"> have introduced new or significantly improved products or services in the last 12 months.  This increases to 66% of 100+ employers and is significantly higher than average in multi-site businesses (45%, compared with 34% of single site businesses).</w:t>
      </w:r>
    </w:p>
    <w:p w:rsidR="00A7041A" w:rsidRDefault="00A7041A" w:rsidP="00D135B0">
      <w:pPr>
        <w:pStyle w:val="BodyText"/>
      </w:pPr>
      <w:r>
        <w:t>By sector, th</w:t>
      </w:r>
      <w:r w:rsidR="00C23EB2">
        <w:t>is</w:t>
      </w:r>
      <w:r>
        <w:t xml:space="preserve"> proportion is slightly higher than average in manufacturing (42%) and distribution/hotels/restaurants (42%), but significantly lower than average in agriculture/fishing</w:t>
      </w:r>
      <w:r w:rsidR="00C424E8">
        <w:t xml:space="preserve"> (26%)</w:t>
      </w:r>
      <w:r>
        <w:t>.</w:t>
      </w:r>
    </w:p>
    <w:p w:rsidR="00A7041A" w:rsidRDefault="00C424E8" w:rsidP="00D135B0">
      <w:pPr>
        <w:pStyle w:val="BodyText"/>
      </w:pPr>
      <w:r>
        <w:t>Exporters are significantly more likely than non-exporters to have recently introduced new or significantly improved products or services (57%, compared with 35%).  The proportion that have done so is also significantly higher than average amongst those that have sought finance in the last 12 months (45%) and amongst those that are involved in e-commerce (48%).</w:t>
      </w:r>
    </w:p>
    <w:p w:rsidR="00CD1BC2" w:rsidRDefault="00CD1BC2" w:rsidP="00D135B0">
      <w:pPr>
        <w:pStyle w:val="BodyText"/>
      </w:pPr>
      <w:r>
        <w:t>Employment growth is also linked to the propensity to introduce new or significantly improved products or services (50% of those that have increased the size of their workforce, compared with 34% that report no change), alongside recruitment (44% of those that have recruited any staff in the last 12 months, compared with 31% that have not).  However, these are also linked to larger business size.</w:t>
      </w:r>
    </w:p>
    <w:p w:rsidR="00CD1BC2" w:rsidRDefault="00CD1BC2" w:rsidP="00D135B0">
      <w:pPr>
        <w:pStyle w:val="BodyText"/>
      </w:pPr>
      <w:r>
        <w:t>For just over three-quarters of businesses that have introduced new products and services (77%) they were new to the business, rather than being completely new (22%).</w:t>
      </w:r>
    </w:p>
    <w:p w:rsidR="00CD1BC2" w:rsidRDefault="00CD1BC2" w:rsidP="00D135B0">
      <w:pPr>
        <w:pStyle w:val="BodyText"/>
      </w:pPr>
      <w:r>
        <w:t>The propensity to have introduced completely new products and services increases significantly amongst exporters (32%).</w:t>
      </w:r>
    </w:p>
    <w:p w:rsidR="00C23EB2" w:rsidRDefault="00C23EB2" w:rsidP="00D135B0">
      <w:pPr>
        <w:pStyle w:val="BodyText"/>
      </w:pPr>
      <w:r>
        <w:t xml:space="preserve">Compared to findings from SBS 2012, Greater Lincolnshire employers are less likely to have introduced new or improved products or services (38%, compared with 43%), but these new products or services are more likely to be completely new (22%, compared with 17% in SBS 2012). </w:t>
      </w:r>
    </w:p>
    <w:p w:rsidR="00E53693" w:rsidRDefault="00E53693" w:rsidP="00E53693">
      <w:pPr>
        <w:pStyle w:val="Heading3"/>
      </w:pPr>
      <w:bookmarkStart w:id="44" w:name="_Toc394057535"/>
      <w:r>
        <w:t>New processes</w:t>
      </w:r>
      <w:bookmarkEnd w:id="44"/>
    </w:p>
    <w:p w:rsidR="00E53693" w:rsidRDefault="00E53693" w:rsidP="00E53693">
      <w:pPr>
        <w:pStyle w:val="BodyText"/>
      </w:pPr>
      <w:r>
        <w:t>A third of private sector employers (34%) have introduced new or significantly improved processes in the last 12 months.</w:t>
      </w:r>
    </w:p>
    <w:p w:rsidR="00E53693" w:rsidRDefault="00E53693" w:rsidP="00E53693">
      <w:pPr>
        <w:pStyle w:val="BodyText"/>
      </w:pPr>
      <w:r>
        <w:t>Again, this proportion increases with business size.</w:t>
      </w:r>
      <w:r w:rsidR="00C23EB2">
        <w:t xml:space="preserve">  The proportion of 100+ employers that have introduced new or significantly improved processes is higher than those that have introduced new products or services (78%, compared with 66%).</w:t>
      </w:r>
    </w:p>
    <w:p w:rsidR="00E53693" w:rsidRDefault="00E53693" w:rsidP="00E53693">
      <w:pPr>
        <w:pStyle w:val="Caption"/>
      </w:pPr>
      <w:r>
        <w:lastRenderedPageBreak/>
        <w:t>Figure 5.8:   Proportion of employers that have introduced new or significantly improved processes in the last 12 months</w:t>
      </w:r>
      <w:r w:rsidR="00D36D26">
        <w:t>, by business size</w:t>
      </w:r>
      <w:r>
        <w:t xml:space="preserve"> (all private sector employers) </w:t>
      </w:r>
    </w:p>
    <w:p w:rsidR="00E53693" w:rsidRDefault="00E53693" w:rsidP="00E53693">
      <w:pPr>
        <w:pStyle w:val="Caption"/>
      </w:pPr>
      <w:r w:rsidRPr="00E53693">
        <w:rPr>
          <w:noProof/>
          <w:lang w:eastAsia="en-GB"/>
        </w:rPr>
        <w:drawing>
          <wp:inline distT="0" distB="0" distL="0" distR="0">
            <wp:extent cx="5686425" cy="2933700"/>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3693" w:rsidRDefault="00E53693" w:rsidP="00E53693">
      <w:pPr>
        <w:pStyle w:val="BodyText"/>
        <w:rPr>
          <w:rFonts w:cs="Arial"/>
          <w:sz w:val="18"/>
        </w:rPr>
      </w:pPr>
      <w:r>
        <w:rPr>
          <w:rFonts w:cs="Arial"/>
          <w:sz w:val="18"/>
        </w:rPr>
        <w:t>Unweighted sample bases in parentheses</w:t>
      </w:r>
    </w:p>
    <w:p w:rsidR="00E53693" w:rsidRPr="0073300F" w:rsidRDefault="00E53693" w:rsidP="00E53693">
      <w:pPr>
        <w:pStyle w:val="BodyText"/>
        <w:rPr>
          <w:sz w:val="18"/>
        </w:rPr>
      </w:pPr>
      <w:r>
        <w:rPr>
          <w:rFonts w:cs="Arial"/>
          <w:sz w:val="18"/>
        </w:rPr>
        <w:t>QE8</w:t>
      </w:r>
      <w:r w:rsidRPr="0073300F">
        <w:rPr>
          <w:rFonts w:cs="Arial"/>
          <w:sz w:val="18"/>
        </w:rPr>
        <w:t xml:space="preserve">.  </w:t>
      </w:r>
      <w:r>
        <w:rPr>
          <w:rFonts w:cs="Arial"/>
          <w:sz w:val="18"/>
        </w:rPr>
        <w:t>Have you introduced new or significantly improved processes in the last 12 months?</w:t>
      </w:r>
    </w:p>
    <w:p w:rsidR="00E53693" w:rsidRPr="00E53693" w:rsidRDefault="00E53693" w:rsidP="00E53693">
      <w:pPr>
        <w:pStyle w:val="BodyText"/>
      </w:pPr>
    </w:p>
    <w:p w:rsidR="00CD1BC2" w:rsidRDefault="00697776" w:rsidP="00D135B0">
      <w:pPr>
        <w:pStyle w:val="BodyText"/>
      </w:pPr>
      <w:r>
        <w:t>By sector, businesses in banking/finance/insurance are significantly more likely than average to have introduced new or significantly improved processes in the last 12 months (39%).  The proportion is significantly higher amongst exporters and non-exporters (48%, compared with 31%).  Furthermore, where businesses have sought finance in the last 12 months, they are significantly more likely than average to have introduced new or improved processes (42%), while increasing the size of the workforce also links in to this (49% of those that have reported recent employment growth; 44% of those that have recruited new staff).</w:t>
      </w:r>
    </w:p>
    <w:p w:rsidR="00703585" w:rsidRDefault="00703585" w:rsidP="00D135B0">
      <w:pPr>
        <w:pStyle w:val="BodyText"/>
      </w:pPr>
      <w:r>
        <w:t xml:space="preserve">There is some crossover between the introduction of new or improved processes and the introduction of new products and services.  More than half of those that have introduced new or significantly improved products and services in the last 12 months (58%) have also introduced new or significantly improved processes during this period.  </w:t>
      </w:r>
    </w:p>
    <w:p w:rsidR="00703585" w:rsidRDefault="000C0997" w:rsidP="00D135B0">
      <w:pPr>
        <w:pStyle w:val="BodyText"/>
      </w:pPr>
      <w:r>
        <w:t>In the vast majority of these cases of new or improved processes (83%), they are new to the business rather than completely new.  There are no significant differences in terms of size, sector or any other key variable in this respect.</w:t>
      </w:r>
    </w:p>
    <w:p w:rsidR="000C0997" w:rsidRDefault="000C0997" w:rsidP="000C0997">
      <w:pPr>
        <w:pStyle w:val="BodyText"/>
      </w:pPr>
      <w:r>
        <w:t xml:space="preserve">Compared to findings from SBS 2012, Greater Lincolnshire employers are similarly likely to have introduced new or improved processes (34%, compared with 33%), and the extent to which these new or improved processes are completely new is similar (15%, compared with 14% in SBS 2012). </w:t>
      </w:r>
    </w:p>
    <w:p w:rsidR="00D135B0" w:rsidRDefault="00D135B0" w:rsidP="00D135B0">
      <w:pPr>
        <w:pStyle w:val="Heading3"/>
      </w:pPr>
      <w:bookmarkStart w:id="45" w:name="_Toc394057536"/>
      <w:r>
        <w:t>Research and Development facilities</w:t>
      </w:r>
      <w:bookmarkEnd w:id="45"/>
    </w:p>
    <w:p w:rsidR="00D135B0" w:rsidRDefault="00D36D26" w:rsidP="00D135B0">
      <w:pPr>
        <w:pStyle w:val="BodyText"/>
      </w:pPr>
      <w:r>
        <w:t xml:space="preserve">Just over a quarter of all private sector employers (27%) have a formal R &amp; D function to support innovation.  The likelihood of having an R &amp; D function increases with business size </w:t>
      </w:r>
      <w:r>
        <w:lastRenderedPageBreak/>
        <w:t>to 64% of 100+ employers.   It is significantly more likely than averag</w:t>
      </w:r>
      <w:r w:rsidR="00F23254">
        <w:t>e within public administration/</w:t>
      </w:r>
      <w:r>
        <w:t>education/health (34%).</w:t>
      </w:r>
    </w:p>
    <w:p w:rsidR="00D36D26" w:rsidRDefault="00D36D26" w:rsidP="00D36D26">
      <w:pPr>
        <w:pStyle w:val="Caption"/>
      </w:pPr>
      <w:r>
        <w:t xml:space="preserve">Figure 5.9:   Proportion of employers that have an R &amp; D function located at their site, by business size and sector (all private sector employers) </w:t>
      </w:r>
    </w:p>
    <w:p w:rsidR="00D36D26" w:rsidRDefault="00F23254" w:rsidP="00D36D26">
      <w:pPr>
        <w:pStyle w:val="Caption"/>
      </w:pPr>
      <w:r w:rsidRPr="00F23254">
        <w:rPr>
          <w:noProof/>
          <w:lang w:eastAsia="en-GB"/>
        </w:rPr>
        <w:drawing>
          <wp:inline distT="0" distB="0" distL="0" distR="0">
            <wp:extent cx="5848350" cy="6734175"/>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6D26" w:rsidRDefault="00D36D26" w:rsidP="00D36D26">
      <w:pPr>
        <w:pStyle w:val="BodyText"/>
        <w:rPr>
          <w:rFonts w:cs="Arial"/>
          <w:sz w:val="18"/>
        </w:rPr>
      </w:pPr>
      <w:r>
        <w:rPr>
          <w:rFonts w:cs="Arial"/>
          <w:sz w:val="18"/>
        </w:rPr>
        <w:t>Unweighted sample bases in parentheses</w:t>
      </w:r>
    </w:p>
    <w:p w:rsidR="00D36D26" w:rsidRPr="0073300F" w:rsidRDefault="00D36D26" w:rsidP="00D36D26">
      <w:pPr>
        <w:pStyle w:val="BodyText"/>
        <w:rPr>
          <w:sz w:val="18"/>
        </w:rPr>
      </w:pPr>
      <w:r>
        <w:rPr>
          <w:rFonts w:cs="Arial"/>
          <w:sz w:val="18"/>
        </w:rPr>
        <w:t>QE10.  Do you have a formal Research and Development function in the business to support innovation or is innovation just ad hoc?</w:t>
      </w:r>
    </w:p>
    <w:p w:rsidR="00D35D9B" w:rsidRDefault="00D35D9B" w:rsidP="00D135B0">
      <w:pPr>
        <w:pStyle w:val="BodyText"/>
      </w:pPr>
      <w:r>
        <w:lastRenderedPageBreak/>
        <w:t>Employers that have introduced any new or improved products, services or processes in the last 12 months are significantly more likely than average to have an R &amp; D function within the business (</w:t>
      </w:r>
      <w:r w:rsidR="007A1708">
        <w:t>40%, compared with 17%).</w:t>
      </w:r>
    </w:p>
    <w:p w:rsidR="00D36D26" w:rsidRDefault="00D35D9B" w:rsidP="00D135B0">
      <w:pPr>
        <w:pStyle w:val="BodyText"/>
      </w:pPr>
      <w:r>
        <w:t>Just over half of all private sector employers (54%) innovate on an ad hoc basis, i.e. without a permanent R &amp; D function.</w:t>
      </w:r>
    </w:p>
    <w:p w:rsidR="00D35D9B" w:rsidRDefault="00D35D9B" w:rsidP="00D135B0">
      <w:pPr>
        <w:pStyle w:val="BodyText"/>
      </w:pPr>
      <w:r>
        <w:t>This proportion is significantly higher than average within the transport and communications</w:t>
      </w:r>
      <w:r w:rsidR="00DF128F">
        <w:t xml:space="preserve"> sector (68%); single site businesses (60%) and where the business does not have a website (61%).</w:t>
      </w:r>
    </w:p>
    <w:p w:rsidR="00DF128F" w:rsidRDefault="008A202C" w:rsidP="00D135B0">
      <w:pPr>
        <w:pStyle w:val="BodyText"/>
      </w:pPr>
      <w:r>
        <w:t>Amongst the 38% of multi-site businesses that have an R &amp; D function in their business, the majority report that it is based at another site (73%).  As one would expect, this is more likely for branches/subsidiaries (80%) than headquarters (32%).</w:t>
      </w:r>
    </w:p>
    <w:p w:rsidR="00D135B0" w:rsidRDefault="00D135B0" w:rsidP="00D135B0">
      <w:pPr>
        <w:pStyle w:val="Heading3"/>
      </w:pPr>
      <w:bookmarkStart w:id="46" w:name="_Toc394057537"/>
      <w:r>
        <w:t>Collaboration with others</w:t>
      </w:r>
      <w:bookmarkEnd w:id="46"/>
      <w:r>
        <w:t xml:space="preserve"> </w:t>
      </w:r>
    </w:p>
    <w:p w:rsidR="00AE1183" w:rsidRDefault="00AE1183" w:rsidP="00AE1183">
      <w:pPr>
        <w:pStyle w:val="BodyText"/>
      </w:pPr>
      <w:r>
        <w:t>More than half the employers that have introduced new or improved products, services or processes in the last 12 months (59%) collaborate with others outside of their organisation to develop new ideas for product, service or process development.  This increases with business size to 75% of 100+ employers.   It is a common practice within the sectors of other services (80%) and public administration/education/health (78%) and the emerging sub-sector of health and care (77%) in particular.</w:t>
      </w:r>
    </w:p>
    <w:p w:rsidR="00AE1183" w:rsidRDefault="00AE1183" w:rsidP="00AE1183">
      <w:pPr>
        <w:pStyle w:val="BodyText"/>
      </w:pPr>
      <w:r>
        <w:t>Other businesses are key collaborators (81% of businesses that collaborate with others), with around one in ten employers that collaborate with others doing so with public sector based business development organisations/services (11%), higher or further education institutions (8%) and/or government departments (8%).</w:t>
      </w:r>
    </w:p>
    <w:p w:rsidR="00D135B0" w:rsidRDefault="00D135B0" w:rsidP="00D135B0">
      <w:pPr>
        <w:pStyle w:val="Heading2"/>
      </w:pPr>
      <w:bookmarkStart w:id="47" w:name="_Toc394057538"/>
      <w:r>
        <w:t>Factors assisting business growth</w:t>
      </w:r>
      <w:bookmarkEnd w:id="47"/>
    </w:p>
    <w:p w:rsidR="00D135B0" w:rsidRDefault="00E3671E" w:rsidP="00D135B0">
      <w:pPr>
        <w:pStyle w:val="BodyText"/>
      </w:pPr>
      <w:r>
        <w:t>Employers</w:t>
      </w:r>
      <w:r w:rsidR="004C41E9">
        <w:t xml:space="preserve"> were asked to indicate which of a list of things which are sometimes valuable in improving business stability or helping businesses to grow are significantly beneficial for their business.</w:t>
      </w:r>
    </w:p>
    <w:p w:rsidR="007837CB" w:rsidRDefault="00754B11" w:rsidP="00D135B0">
      <w:pPr>
        <w:pStyle w:val="BodyText"/>
      </w:pPr>
      <w:r>
        <w:t>Suitable low cost premises is top of the list (58%), followed closely by access to funding (56%), availability of highly skilled labour (54%) and availability of local training (54%).  With the availability of other skills their business needs also cited by more than half the employers (52%), it is evident that access to the right skills is highly valued.</w:t>
      </w:r>
    </w:p>
    <w:p w:rsidR="004C41E9" w:rsidRDefault="004C41E9" w:rsidP="00D135B0">
      <w:pPr>
        <w:pStyle w:val="BodyText"/>
      </w:pPr>
      <w:r>
        <w:t>Their responses are summarised in the figure overleaf.</w:t>
      </w:r>
    </w:p>
    <w:p w:rsidR="004C41E9" w:rsidRDefault="004C41E9" w:rsidP="00D135B0">
      <w:pPr>
        <w:pStyle w:val="BodyText"/>
      </w:pPr>
    </w:p>
    <w:p w:rsidR="004C41E9" w:rsidRDefault="004C41E9" w:rsidP="004C41E9">
      <w:pPr>
        <w:pStyle w:val="Caption"/>
      </w:pPr>
      <w:r>
        <w:lastRenderedPageBreak/>
        <w:t xml:space="preserve">Figure 5.10:   Benefits that are significant to employers in improving business stability or helping businesses to grow – prompted, multiple response (all employers) </w:t>
      </w:r>
    </w:p>
    <w:p w:rsidR="004C41E9" w:rsidRDefault="00754B11" w:rsidP="004C41E9">
      <w:pPr>
        <w:pStyle w:val="Caption"/>
      </w:pPr>
      <w:r w:rsidRPr="00754B11">
        <w:rPr>
          <w:noProof/>
          <w:lang w:eastAsia="en-GB"/>
        </w:rPr>
        <w:drawing>
          <wp:inline distT="0" distB="0" distL="0" distR="0">
            <wp:extent cx="6143625" cy="5524500"/>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41E9" w:rsidRDefault="004C41E9" w:rsidP="004C41E9">
      <w:pPr>
        <w:pStyle w:val="BodyText"/>
        <w:rPr>
          <w:rFonts w:cs="Arial"/>
          <w:sz w:val="18"/>
        </w:rPr>
      </w:pPr>
      <w:r>
        <w:rPr>
          <w:rFonts w:cs="Arial"/>
          <w:sz w:val="18"/>
        </w:rPr>
        <w:t>Unweighted sample base = 1515</w:t>
      </w:r>
    </w:p>
    <w:p w:rsidR="004C41E9" w:rsidRPr="0073300F" w:rsidRDefault="004C41E9" w:rsidP="004C41E9">
      <w:pPr>
        <w:pStyle w:val="BodyText"/>
        <w:rPr>
          <w:sz w:val="18"/>
        </w:rPr>
      </w:pPr>
      <w:r>
        <w:rPr>
          <w:rFonts w:cs="Arial"/>
          <w:sz w:val="18"/>
        </w:rPr>
        <w:t>QD2.  I would now like to read you a list of things which are sometimes valuable in improving business stability or which help businesses to grow.  Could you tell me which ones you fee would be significantly beneficial for your business?</w:t>
      </w:r>
    </w:p>
    <w:p w:rsidR="007837CB" w:rsidRDefault="007837CB" w:rsidP="00D135B0">
      <w:pPr>
        <w:pStyle w:val="BodyText"/>
      </w:pPr>
      <w:r>
        <w:t>By district, skills issues, including having the support to recruit staff with the right skills are significantly more likely than average to be considered beneficial in North Kesteven.  These employers are also significantly more likely than average to consider support with tax, national insurance law and payments beneficial.</w:t>
      </w:r>
    </w:p>
    <w:p w:rsidR="007837CB" w:rsidRDefault="007837CB" w:rsidP="00D135B0">
      <w:pPr>
        <w:pStyle w:val="BodyText"/>
      </w:pPr>
      <w:r>
        <w:t>Access to funding is considered particularly beneficial by employers in West Lindsey, while Lincoln based employers are more likely to cite access to business mentoring, coaching and networking than employers based elsewhere.</w:t>
      </w:r>
    </w:p>
    <w:p w:rsidR="007837CB" w:rsidRDefault="007837CB" w:rsidP="007837CB">
      <w:pPr>
        <w:pStyle w:val="Caption"/>
      </w:pPr>
      <w:r>
        <w:lastRenderedPageBreak/>
        <w:t xml:space="preserve">Table 5.11:  </w:t>
      </w:r>
      <w:r w:rsidR="008F26F9">
        <w:t>Benefits that are significant to employers in improving business stability or helping businesses to grow – prompted, multiple response, by district (all employers)</w:t>
      </w:r>
    </w:p>
    <w:tbl>
      <w:tblPr>
        <w:tblStyle w:val="LightList-Accent6"/>
        <w:tblW w:w="10649" w:type="dxa"/>
        <w:tblInd w:w="-318" w:type="dxa"/>
        <w:tblLook w:val="04A0" w:firstRow="1" w:lastRow="0" w:firstColumn="1" w:lastColumn="0" w:noHBand="0" w:noVBand="1"/>
      </w:tblPr>
      <w:tblGrid>
        <w:gridCol w:w="2553"/>
        <w:gridCol w:w="1009"/>
        <w:gridCol w:w="757"/>
        <w:gridCol w:w="660"/>
        <w:gridCol w:w="709"/>
        <w:gridCol w:w="708"/>
        <w:gridCol w:w="709"/>
        <w:gridCol w:w="709"/>
        <w:gridCol w:w="709"/>
        <w:gridCol w:w="708"/>
        <w:gridCol w:w="709"/>
        <w:gridCol w:w="709"/>
      </w:tblGrid>
      <w:tr w:rsidR="007837CB" w:rsidRPr="003C0922" w:rsidTr="0082125A">
        <w:trPr>
          <w:cnfStyle w:val="100000000000" w:firstRow="1" w:lastRow="0" w:firstColumn="0" w:lastColumn="0" w:oddVBand="0" w:evenVBand="0" w:oddHBand="0" w:evenHBand="0" w:firstRowFirstColumn="0" w:firstRowLastColumn="0" w:lastRowFirstColumn="0" w:lastRowLastColumn="0"/>
          <w:cantSplit/>
          <w:trHeight w:val="2219"/>
        </w:trPr>
        <w:tc>
          <w:tcPr>
            <w:cnfStyle w:val="001000000000" w:firstRow="0" w:lastRow="0" w:firstColumn="1" w:lastColumn="0" w:oddVBand="0" w:evenVBand="0" w:oddHBand="0" w:evenHBand="0" w:firstRowFirstColumn="0" w:firstRowLastColumn="0" w:lastRowFirstColumn="0" w:lastRowLastColumn="0"/>
            <w:tcW w:w="2553" w:type="dxa"/>
            <w:vAlign w:val="bottom"/>
          </w:tcPr>
          <w:p w:rsidR="007837CB" w:rsidRPr="003C0922" w:rsidRDefault="00CA174B" w:rsidP="00CA174B">
            <w:pPr>
              <w:spacing w:before="60" w:after="60"/>
              <w:rPr>
                <w:rFonts w:cstheme="minorHAnsi"/>
                <w:b w:val="0"/>
                <w:sz w:val="20"/>
              </w:rPr>
            </w:pPr>
            <w:r>
              <w:rPr>
                <w:rFonts w:cstheme="minorHAnsi"/>
                <w:b w:val="0"/>
                <w:sz w:val="20"/>
              </w:rPr>
              <w:t>Column percentages</w:t>
            </w:r>
          </w:p>
        </w:tc>
        <w:tc>
          <w:tcPr>
            <w:tcW w:w="1009" w:type="dxa"/>
            <w:textDirection w:val="tbRl"/>
            <w:vAlign w:val="center"/>
          </w:tcPr>
          <w:p w:rsidR="007837CB" w:rsidRPr="0082125A" w:rsidRDefault="007837CB" w:rsidP="007837CB">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Greater Lincolnshire</w:t>
            </w:r>
          </w:p>
        </w:tc>
        <w:tc>
          <w:tcPr>
            <w:tcW w:w="757" w:type="dxa"/>
            <w:tcBorders>
              <w:bottom w:val="single" w:sz="8" w:space="0" w:color="73A5D8" w:themeColor="accent6"/>
            </w:tcBorders>
            <w:textDirection w:val="tbRl"/>
            <w:vAlign w:val="center"/>
          </w:tcPr>
          <w:p w:rsidR="007837CB" w:rsidRPr="0082125A" w:rsidRDefault="007837CB" w:rsidP="007837CB">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Lincolnshire county</w:t>
            </w:r>
          </w:p>
        </w:tc>
        <w:tc>
          <w:tcPr>
            <w:tcW w:w="660"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North East Lincolnshire</w:t>
            </w:r>
          </w:p>
        </w:tc>
        <w:tc>
          <w:tcPr>
            <w:tcW w:w="709"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North Lincolnshire</w:t>
            </w:r>
          </w:p>
        </w:tc>
        <w:tc>
          <w:tcPr>
            <w:tcW w:w="708"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Boston</w:t>
            </w:r>
          </w:p>
        </w:tc>
        <w:tc>
          <w:tcPr>
            <w:tcW w:w="709"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East Lindsey</w:t>
            </w:r>
          </w:p>
        </w:tc>
        <w:tc>
          <w:tcPr>
            <w:tcW w:w="709"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Lincoln</w:t>
            </w:r>
          </w:p>
        </w:tc>
        <w:tc>
          <w:tcPr>
            <w:tcW w:w="709"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North Kesteven</w:t>
            </w:r>
          </w:p>
        </w:tc>
        <w:tc>
          <w:tcPr>
            <w:tcW w:w="708"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South Holland</w:t>
            </w:r>
          </w:p>
        </w:tc>
        <w:tc>
          <w:tcPr>
            <w:tcW w:w="709"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South Kesteven</w:t>
            </w:r>
          </w:p>
        </w:tc>
        <w:tc>
          <w:tcPr>
            <w:tcW w:w="709" w:type="dxa"/>
            <w:tcBorders>
              <w:bottom w:val="single" w:sz="8" w:space="0" w:color="73A5D8" w:themeColor="accent6"/>
            </w:tcBorders>
            <w:textDirection w:val="tbRl"/>
            <w:vAlign w:val="center"/>
          </w:tcPr>
          <w:p w:rsidR="007837CB" w:rsidRPr="0082125A" w:rsidRDefault="00CA174B" w:rsidP="007837C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West Lindsey</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Suitable low cost premises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58</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58</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62</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55</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56</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64</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61</w:t>
            </w:r>
          </w:p>
        </w:tc>
        <w:tc>
          <w:tcPr>
            <w:tcW w:w="708"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53</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CA174B">
              <w:rPr>
                <w:rFonts w:ascii="Arial" w:hAnsi="Arial" w:cs="Arial"/>
                <w:b/>
                <w:color w:val="000000"/>
              </w:rPr>
              <w:t>65</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56</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Access to funding</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56</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55</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60</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58</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58</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51</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A174B">
              <w:rPr>
                <w:rFonts w:ascii="Arial" w:hAnsi="Arial" w:cs="Arial"/>
                <w:b/>
                <w:color w:val="000000"/>
              </w:rPr>
              <w:t>64</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Availability of highly skilled labour</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55</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rPr>
            </w:pPr>
            <w:r w:rsidRPr="00CA174B">
              <w:rPr>
                <w:rFonts w:ascii="Arial" w:hAnsi="Arial" w:cs="Arial"/>
                <w:i/>
                <w:color w:val="000000"/>
              </w:rPr>
              <w:t>46</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51</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59</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61</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51</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57</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57</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Availability of local training</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53</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57</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59</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Availability of other skills your business needs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51</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51</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50</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46</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50</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CA174B">
              <w:rPr>
                <w:rFonts w:ascii="Arial" w:hAnsi="Arial" w:cs="Arial"/>
                <w:b/>
                <w:color w:val="000000"/>
              </w:rPr>
              <w:t>62</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49</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53</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53</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Support with recruiting staff with the right skills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46</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39</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39</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47</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A174B">
              <w:rPr>
                <w:rFonts w:ascii="Arial" w:hAnsi="Arial" w:cs="Arial"/>
                <w:b/>
                <w:color w:val="000000"/>
              </w:rPr>
              <w:t>54</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47</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47</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Access to Business Growth programmes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48</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rPr>
            </w:pPr>
            <w:r w:rsidRPr="00CA174B">
              <w:rPr>
                <w:rFonts w:ascii="Arial" w:hAnsi="Arial" w:cs="Arial"/>
                <w:i/>
                <w:color w:val="000000"/>
              </w:rPr>
              <w:t>36</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46</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49</w:t>
            </w:r>
          </w:p>
        </w:tc>
        <w:tc>
          <w:tcPr>
            <w:tcW w:w="708"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45</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Assistance with E-commerce and internet-based technologies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43</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46</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37</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42</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Support with tax, national insurance law and payments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43</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43</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47</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40</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40</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CA174B">
              <w:rPr>
                <w:rFonts w:ascii="Arial" w:hAnsi="Arial" w:cs="Arial"/>
                <w:b/>
                <w:color w:val="000000"/>
              </w:rPr>
              <w:t>54</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37</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rPr>
            </w:pPr>
            <w:r w:rsidRPr="00CA174B">
              <w:rPr>
                <w:rFonts w:ascii="Arial" w:hAnsi="Arial" w:cs="Arial"/>
                <w:i/>
                <w:color w:val="000000"/>
              </w:rPr>
              <w:t>34</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Access to business mentoring, coaching and networking</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38</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40</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A174B">
              <w:rPr>
                <w:rFonts w:ascii="Arial" w:hAnsi="Arial" w:cs="Arial"/>
                <w:b/>
                <w:color w:val="000000"/>
              </w:rPr>
              <w:t>49</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42</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39</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39</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41</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Support with Planning Regulations and related matters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47</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rPr>
            </w:pPr>
            <w:r w:rsidRPr="00CA174B">
              <w:rPr>
                <w:rFonts w:ascii="Arial" w:hAnsi="Arial" w:cs="Arial"/>
                <w:i/>
                <w:color w:val="000000"/>
              </w:rPr>
              <w:t>33</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37</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42</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40</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39</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CA174B">
              <w:rPr>
                <w:rFonts w:ascii="Arial" w:hAnsi="Arial" w:cs="Arial"/>
                <w:b/>
                <w:color w:val="000000"/>
              </w:rPr>
              <w:t>48</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39</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Pr>
                <w:rFonts w:ascii="Arial" w:hAnsi="Arial" w:cs="Arial"/>
                <w:b w:val="0"/>
                <w:color w:val="000000"/>
                <w:sz w:val="20"/>
              </w:rPr>
              <w:t xml:space="preserve">Support with </w:t>
            </w:r>
            <w:r w:rsidRPr="00CA174B">
              <w:rPr>
                <w:rFonts w:ascii="Arial" w:hAnsi="Arial" w:cs="Arial"/>
                <w:b w:val="0"/>
                <w:color w:val="000000"/>
                <w:sz w:val="20"/>
              </w:rPr>
              <w:t>new product or service development</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37</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38</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31</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43</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40</w:t>
            </w:r>
          </w:p>
        </w:tc>
      </w:tr>
      <w:tr w:rsidR="00877884"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Support to develop new UK markets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35</w:t>
            </w:r>
          </w:p>
        </w:tc>
        <w:tc>
          <w:tcPr>
            <w:tcW w:w="757"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36</w:t>
            </w:r>
          </w:p>
        </w:tc>
        <w:tc>
          <w:tcPr>
            <w:tcW w:w="660"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30</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34</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CA174B">
              <w:rPr>
                <w:rFonts w:ascii="Arial" w:hAnsi="Arial" w:cs="Arial"/>
                <w:b/>
                <w:color w:val="000000"/>
              </w:rPr>
              <w:t>42</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33</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37</w:t>
            </w:r>
          </w:p>
        </w:tc>
        <w:tc>
          <w:tcPr>
            <w:tcW w:w="708"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38</w:t>
            </w:r>
          </w:p>
        </w:tc>
        <w:tc>
          <w:tcPr>
            <w:tcW w:w="709" w:type="dxa"/>
            <w:tcBorders>
              <w:left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32</w:t>
            </w:r>
          </w:p>
        </w:tc>
        <w:tc>
          <w:tcPr>
            <w:tcW w:w="709" w:type="dxa"/>
            <w:tcBorders>
              <w:left w:val="single" w:sz="8" w:space="0" w:color="73A5D8" w:themeColor="accent6"/>
            </w:tcBorders>
            <w:vAlign w:val="center"/>
          </w:tcPr>
          <w:p w:rsidR="00877884" w:rsidRPr="00CA174B" w:rsidRDefault="00877884"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34</w:t>
            </w:r>
          </w:p>
        </w:tc>
      </w:tr>
      <w:tr w:rsidR="00877884"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877884" w:rsidRPr="00CA174B" w:rsidRDefault="00877884" w:rsidP="00CA174B">
            <w:pPr>
              <w:spacing w:before="40" w:after="40"/>
              <w:rPr>
                <w:rFonts w:ascii="Arial" w:hAnsi="Arial" w:cs="Arial"/>
                <w:b w:val="0"/>
                <w:color w:val="000000"/>
                <w:sz w:val="20"/>
              </w:rPr>
            </w:pPr>
            <w:r w:rsidRPr="00CA174B">
              <w:rPr>
                <w:rFonts w:ascii="Arial" w:hAnsi="Arial" w:cs="Arial"/>
                <w:b w:val="0"/>
                <w:color w:val="000000"/>
                <w:sz w:val="20"/>
              </w:rPr>
              <w:t>Support to develop new export markets</w:t>
            </w:r>
          </w:p>
        </w:tc>
        <w:tc>
          <w:tcPr>
            <w:tcW w:w="1009" w:type="dxa"/>
            <w:tcBorders>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16</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17</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13</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19</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CA174B" w:rsidRDefault="00877884"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17</w:t>
            </w:r>
          </w:p>
        </w:tc>
      </w:tr>
      <w:tr w:rsidR="00CA174B"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bottom"/>
          </w:tcPr>
          <w:p w:rsidR="00CA174B" w:rsidRPr="00CA174B" w:rsidRDefault="00CA174B" w:rsidP="00CA174B">
            <w:pPr>
              <w:spacing w:before="40" w:after="40"/>
              <w:rPr>
                <w:rFonts w:ascii="Arial" w:hAnsi="Arial" w:cs="Arial"/>
                <w:b w:val="0"/>
                <w:color w:val="000000"/>
                <w:sz w:val="20"/>
              </w:rPr>
            </w:pPr>
            <w:r w:rsidRPr="00CA174B">
              <w:rPr>
                <w:rFonts w:ascii="Arial" w:hAnsi="Arial" w:cs="Arial"/>
                <w:b w:val="0"/>
                <w:color w:val="000000"/>
                <w:sz w:val="20"/>
              </w:rPr>
              <w:t>Other</w:t>
            </w:r>
          </w:p>
        </w:tc>
        <w:tc>
          <w:tcPr>
            <w:tcW w:w="1009" w:type="dxa"/>
            <w:tcBorders>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w:t>
            </w:r>
          </w:p>
        </w:tc>
        <w:tc>
          <w:tcPr>
            <w:tcW w:w="757"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7</w:t>
            </w:r>
          </w:p>
        </w:tc>
        <w:tc>
          <w:tcPr>
            <w:tcW w:w="660"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w:t>
            </w:r>
          </w:p>
        </w:tc>
        <w:tc>
          <w:tcPr>
            <w:tcW w:w="709"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w:t>
            </w:r>
          </w:p>
        </w:tc>
        <w:tc>
          <w:tcPr>
            <w:tcW w:w="708"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w:t>
            </w:r>
          </w:p>
        </w:tc>
        <w:tc>
          <w:tcPr>
            <w:tcW w:w="709"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9</w:t>
            </w:r>
          </w:p>
        </w:tc>
        <w:tc>
          <w:tcPr>
            <w:tcW w:w="709"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w:t>
            </w:r>
          </w:p>
        </w:tc>
        <w:tc>
          <w:tcPr>
            <w:tcW w:w="709"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w:t>
            </w:r>
          </w:p>
        </w:tc>
        <w:tc>
          <w:tcPr>
            <w:tcW w:w="708"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w:t>
            </w:r>
          </w:p>
        </w:tc>
        <w:tc>
          <w:tcPr>
            <w:tcW w:w="709"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9</w:t>
            </w:r>
          </w:p>
        </w:tc>
        <w:tc>
          <w:tcPr>
            <w:tcW w:w="709" w:type="dxa"/>
            <w:tcBorders>
              <w:left w:val="single" w:sz="8" w:space="0" w:color="73A5D8" w:themeColor="accent6"/>
            </w:tcBorders>
            <w:vAlign w:val="center"/>
          </w:tcPr>
          <w:p w:rsidR="00CA174B" w:rsidRPr="00CA174B" w:rsidRDefault="00CA174B" w:rsidP="00CA174B">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w:t>
            </w:r>
          </w:p>
        </w:tc>
      </w:tr>
      <w:tr w:rsidR="00CA174B" w:rsidTr="00CA174B">
        <w:tc>
          <w:tcPr>
            <w:cnfStyle w:val="001000000000" w:firstRow="0" w:lastRow="0" w:firstColumn="1" w:lastColumn="0" w:oddVBand="0" w:evenVBand="0" w:oddHBand="0" w:evenHBand="0" w:firstRowFirstColumn="0" w:firstRowLastColumn="0" w:lastRowFirstColumn="0" w:lastRowLastColumn="0"/>
            <w:tcW w:w="2553" w:type="dxa"/>
            <w:vAlign w:val="bottom"/>
          </w:tcPr>
          <w:p w:rsidR="00CA174B" w:rsidRPr="00CA174B" w:rsidRDefault="00CA174B" w:rsidP="00CA174B">
            <w:pPr>
              <w:spacing w:before="40" w:after="40"/>
              <w:rPr>
                <w:rFonts w:ascii="Arial" w:hAnsi="Arial" w:cs="Arial"/>
                <w:b w:val="0"/>
                <w:color w:val="000000"/>
                <w:sz w:val="20"/>
              </w:rPr>
            </w:pPr>
            <w:r w:rsidRPr="00CA174B">
              <w:rPr>
                <w:rFonts w:ascii="Arial" w:hAnsi="Arial" w:cs="Arial"/>
                <w:b w:val="0"/>
                <w:color w:val="000000"/>
                <w:sz w:val="20"/>
              </w:rPr>
              <w:t>None of these</w:t>
            </w:r>
          </w:p>
        </w:tc>
        <w:tc>
          <w:tcPr>
            <w:tcW w:w="1009" w:type="dxa"/>
            <w:tcBorders>
              <w:righ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10</w:t>
            </w:r>
          </w:p>
        </w:tc>
        <w:tc>
          <w:tcPr>
            <w:tcW w:w="757"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9</w:t>
            </w:r>
          </w:p>
        </w:tc>
        <w:tc>
          <w:tcPr>
            <w:tcW w:w="660"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9</w:t>
            </w:r>
          </w:p>
        </w:tc>
        <w:tc>
          <w:tcPr>
            <w:tcW w:w="709"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A174B">
              <w:rPr>
                <w:rFonts w:ascii="Arial" w:hAnsi="Arial" w:cs="Arial"/>
                <w:b/>
                <w:color w:val="000000"/>
              </w:rPr>
              <w:t>15</w:t>
            </w:r>
          </w:p>
        </w:tc>
        <w:tc>
          <w:tcPr>
            <w:tcW w:w="708" w:type="dxa"/>
            <w:tcBorders>
              <w:left w:val="single" w:sz="8" w:space="0" w:color="73A5D8" w:themeColor="accent6"/>
              <w:righ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12</w:t>
            </w:r>
          </w:p>
        </w:tc>
        <w:tc>
          <w:tcPr>
            <w:tcW w:w="709" w:type="dxa"/>
            <w:tcBorders>
              <w:lef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11</w:t>
            </w:r>
          </w:p>
        </w:tc>
        <w:tc>
          <w:tcPr>
            <w:tcW w:w="709" w:type="dxa"/>
            <w:tcBorders>
              <w:lef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9</w:t>
            </w:r>
          </w:p>
        </w:tc>
        <w:tc>
          <w:tcPr>
            <w:tcW w:w="709" w:type="dxa"/>
            <w:tcBorders>
              <w:lef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rPr>
            </w:pPr>
            <w:r w:rsidRPr="00CA174B">
              <w:rPr>
                <w:rFonts w:ascii="Arial" w:hAnsi="Arial" w:cs="Arial"/>
                <w:i/>
                <w:color w:val="000000"/>
              </w:rPr>
              <w:t>5</w:t>
            </w:r>
          </w:p>
        </w:tc>
        <w:tc>
          <w:tcPr>
            <w:tcW w:w="708" w:type="dxa"/>
            <w:tcBorders>
              <w:lef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11</w:t>
            </w:r>
          </w:p>
        </w:tc>
        <w:tc>
          <w:tcPr>
            <w:tcW w:w="709" w:type="dxa"/>
            <w:tcBorders>
              <w:lef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10</w:t>
            </w:r>
          </w:p>
        </w:tc>
        <w:tc>
          <w:tcPr>
            <w:tcW w:w="709" w:type="dxa"/>
            <w:tcBorders>
              <w:left w:val="single" w:sz="8" w:space="0" w:color="73A5D8" w:themeColor="accent6"/>
            </w:tcBorders>
            <w:vAlign w:val="center"/>
          </w:tcPr>
          <w:p w:rsidR="00CA174B" w:rsidRPr="00CA174B" w:rsidRDefault="00CA174B" w:rsidP="00CA174B">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9</w:t>
            </w:r>
          </w:p>
        </w:tc>
      </w:tr>
      <w:tr w:rsidR="007837CB" w:rsidRPr="003C0922" w:rsidTr="00CA1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7837CB" w:rsidRPr="003C0922" w:rsidRDefault="007837CB" w:rsidP="007837CB">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09" w:type="dxa"/>
            <w:tcBorders>
              <w:righ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1515</w:t>
            </w:r>
          </w:p>
        </w:tc>
        <w:tc>
          <w:tcPr>
            <w:tcW w:w="757" w:type="dxa"/>
            <w:tcBorders>
              <w:left w:val="single" w:sz="8" w:space="0" w:color="73A5D8" w:themeColor="accent6"/>
              <w:righ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1141</w:t>
            </w:r>
          </w:p>
        </w:tc>
        <w:tc>
          <w:tcPr>
            <w:tcW w:w="660" w:type="dxa"/>
            <w:tcBorders>
              <w:left w:val="single" w:sz="8" w:space="0" w:color="73A5D8" w:themeColor="accent6"/>
              <w:righ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177</w:t>
            </w:r>
          </w:p>
        </w:tc>
        <w:tc>
          <w:tcPr>
            <w:tcW w:w="709" w:type="dxa"/>
            <w:tcBorders>
              <w:left w:val="single" w:sz="8" w:space="0" w:color="73A5D8" w:themeColor="accent6"/>
              <w:righ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197</w:t>
            </w:r>
          </w:p>
        </w:tc>
        <w:tc>
          <w:tcPr>
            <w:tcW w:w="708" w:type="dxa"/>
            <w:tcBorders>
              <w:left w:val="single" w:sz="8" w:space="0" w:color="73A5D8" w:themeColor="accent6"/>
              <w:righ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130</w:t>
            </w:r>
          </w:p>
        </w:tc>
        <w:tc>
          <w:tcPr>
            <w:tcW w:w="709" w:type="dxa"/>
            <w:tcBorders>
              <w:lef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192</w:t>
            </w:r>
          </w:p>
        </w:tc>
        <w:tc>
          <w:tcPr>
            <w:tcW w:w="709" w:type="dxa"/>
            <w:tcBorders>
              <w:lef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161</w:t>
            </w:r>
          </w:p>
        </w:tc>
        <w:tc>
          <w:tcPr>
            <w:tcW w:w="709" w:type="dxa"/>
            <w:tcBorders>
              <w:lef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158</w:t>
            </w:r>
          </w:p>
        </w:tc>
        <w:tc>
          <w:tcPr>
            <w:tcW w:w="708" w:type="dxa"/>
            <w:tcBorders>
              <w:lef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154</w:t>
            </w:r>
          </w:p>
        </w:tc>
        <w:tc>
          <w:tcPr>
            <w:tcW w:w="709" w:type="dxa"/>
            <w:tcBorders>
              <w:lef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199</w:t>
            </w:r>
          </w:p>
        </w:tc>
        <w:tc>
          <w:tcPr>
            <w:tcW w:w="709" w:type="dxa"/>
            <w:tcBorders>
              <w:left w:val="single" w:sz="8" w:space="0" w:color="73A5D8" w:themeColor="accent6"/>
            </w:tcBorders>
            <w:vAlign w:val="center"/>
          </w:tcPr>
          <w:p w:rsidR="007837CB" w:rsidRPr="003C0922" w:rsidRDefault="00CA174B" w:rsidP="007837C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147</w:t>
            </w:r>
          </w:p>
        </w:tc>
      </w:tr>
    </w:tbl>
    <w:p w:rsidR="007837CB" w:rsidRDefault="007837CB" w:rsidP="007837C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DA4948" w:rsidRDefault="00DA4948">
      <w:pPr>
        <w:spacing w:after="360"/>
        <w:rPr>
          <w:rFonts w:ascii="Arial" w:hAnsi="Arial"/>
        </w:rPr>
      </w:pPr>
      <w:r>
        <w:br w:type="page"/>
      </w:r>
    </w:p>
    <w:p w:rsidR="004C41E9" w:rsidRDefault="00C300F9" w:rsidP="00D135B0">
      <w:pPr>
        <w:pStyle w:val="BodyText"/>
      </w:pPr>
      <w:r>
        <w:lastRenderedPageBreak/>
        <w:t>The availability of local training and highly skilled labour is significantly more likely to be considered beneficial in construction (71% and 67% respectively)</w:t>
      </w:r>
      <w:r w:rsidR="008812F6">
        <w:t>.  Skills and training are also of particular significance to businesses in public administration/education/health (77% cite the availability of local training and 62% the availability of highly skilled labour).</w:t>
      </w:r>
      <w:r w:rsidR="001045C0">
        <w:t xml:space="preserve">  Access to funding is cited by a significantly higher proportion of employers than average in both these sectors.</w:t>
      </w:r>
    </w:p>
    <w:p w:rsidR="008F26F9" w:rsidRDefault="008F26F9" w:rsidP="008F26F9">
      <w:pPr>
        <w:pStyle w:val="Caption"/>
      </w:pPr>
      <w:r>
        <w:t>Table 5.12:  Benefits that are significant to employers in improving business stability or helping businesses to grow – prompted, multiple response, by sector (all employers)</w:t>
      </w:r>
    </w:p>
    <w:tbl>
      <w:tblPr>
        <w:tblStyle w:val="LightList-Accent6"/>
        <w:tblW w:w="10458" w:type="dxa"/>
        <w:tblInd w:w="-318" w:type="dxa"/>
        <w:tblLook w:val="04A0" w:firstRow="1" w:lastRow="0" w:firstColumn="1" w:lastColumn="0" w:noHBand="0" w:noVBand="1"/>
      </w:tblPr>
      <w:tblGrid>
        <w:gridCol w:w="3119"/>
        <w:gridCol w:w="1009"/>
        <w:gridCol w:w="660"/>
        <w:gridCol w:w="709"/>
        <w:gridCol w:w="708"/>
        <w:gridCol w:w="709"/>
        <w:gridCol w:w="709"/>
        <w:gridCol w:w="709"/>
        <w:gridCol w:w="708"/>
        <w:gridCol w:w="709"/>
        <w:gridCol w:w="709"/>
      </w:tblGrid>
      <w:tr w:rsidR="007C140E" w:rsidRPr="003C0922" w:rsidTr="007C140E">
        <w:trPr>
          <w:cnfStyle w:val="100000000000" w:firstRow="1" w:lastRow="0" w:firstColumn="0" w:lastColumn="0" w:oddVBand="0" w:evenVBand="0" w:oddHBand="0" w:evenHBand="0" w:firstRowFirstColumn="0" w:firstRowLastColumn="0" w:lastRowFirstColumn="0" w:lastRowLastColumn="0"/>
          <w:cantSplit/>
          <w:trHeight w:val="2218"/>
        </w:trPr>
        <w:tc>
          <w:tcPr>
            <w:cnfStyle w:val="001000000000" w:firstRow="0" w:lastRow="0" w:firstColumn="1" w:lastColumn="0" w:oddVBand="0" w:evenVBand="0" w:oddHBand="0" w:evenHBand="0" w:firstRowFirstColumn="0" w:firstRowLastColumn="0" w:lastRowFirstColumn="0" w:lastRowLastColumn="0"/>
            <w:tcW w:w="3119" w:type="dxa"/>
            <w:vAlign w:val="bottom"/>
          </w:tcPr>
          <w:p w:rsidR="007C140E" w:rsidRPr="003C0922" w:rsidRDefault="007C140E" w:rsidP="00541842">
            <w:pPr>
              <w:spacing w:before="60" w:after="60"/>
              <w:rPr>
                <w:rFonts w:cstheme="minorHAnsi"/>
                <w:b w:val="0"/>
                <w:sz w:val="20"/>
              </w:rPr>
            </w:pPr>
            <w:r>
              <w:rPr>
                <w:rFonts w:cstheme="minorHAnsi"/>
                <w:b w:val="0"/>
                <w:sz w:val="20"/>
              </w:rPr>
              <w:t>Column percentages</w:t>
            </w:r>
          </w:p>
        </w:tc>
        <w:tc>
          <w:tcPr>
            <w:tcW w:w="1009" w:type="dxa"/>
            <w:textDirection w:val="tbRl"/>
            <w:vAlign w:val="center"/>
          </w:tcPr>
          <w:p w:rsidR="007C140E" w:rsidRPr="0082125A" w:rsidRDefault="007C140E" w:rsidP="0026243D">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Greater Lincolnshire</w:t>
            </w:r>
          </w:p>
        </w:tc>
        <w:tc>
          <w:tcPr>
            <w:tcW w:w="66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Suitable low cost premises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58</w:t>
            </w:r>
          </w:p>
        </w:tc>
        <w:tc>
          <w:tcPr>
            <w:tcW w:w="660"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A4948">
              <w:rPr>
                <w:rFonts w:cstheme="minorHAnsi"/>
                <w:i/>
                <w:color w:val="000000"/>
              </w:rPr>
              <w:t>35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74</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57</w:t>
            </w:r>
          </w:p>
        </w:tc>
        <w:tc>
          <w:tcPr>
            <w:tcW w:w="709" w:type="dxa"/>
            <w:tcBorders>
              <w:lef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62</w:t>
            </w:r>
          </w:p>
        </w:tc>
        <w:tc>
          <w:tcPr>
            <w:tcW w:w="709" w:type="dxa"/>
            <w:tcBorders>
              <w:lef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65</w:t>
            </w:r>
          </w:p>
        </w:tc>
        <w:tc>
          <w:tcPr>
            <w:tcW w:w="709" w:type="dxa"/>
            <w:tcBorders>
              <w:lef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58</w:t>
            </w:r>
          </w:p>
        </w:tc>
        <w:tc>
          <w:tcPr>
            <w:tcW w:w="708" w:type="dxa"/>
            <w:tcBorders>
              <w:lef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63</w:t>
            </w:r>
          </w:p>
        </w:tc>
        <w:tc>
          <w:tcPr>
            <w:tcW w:w="709" w:type="dxa"/>
            <w:tcBorders>
              <w:lef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60</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A4948">
              <w:rPr>
                <w:rFonts w:cstheme="minorHAnsi"/>
                <w:color w:val="000000"/>
              </w:rPr>
              <w:t>59</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Access to funding</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56</w:t>
            </w:r>
          </w:p>
        </w:tc>
        <w:tc>
          <w:tcPr>
            <w:tcW w:w="660"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48</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63</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57</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65</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48</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58</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60</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78</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Availability of highly skilled labour</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660"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44</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72</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51</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67</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A4948">
              <w:rPr>
                <w:rFonts w:cstheme="minorHAnsi"/>
                <w:i/>
                <w:color w:val="000000"/>
              </w:rPr>
              <w:t>48</w:t>
            </w:r>
          </w:p>
        </w:tc>
        <w:tc>
          <w:tcPr>
            <w:tcW w:w="708"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62</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60</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62</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Availability of local training</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54</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47</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75</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71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44</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60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77</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Availability of other skills your business needs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52</w:t>
            </w:r>
          </w:p>
        </w:tc>
        <w:tc>
          <w:tcPr>
            <w:tcW w:w="660"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A4948">
              <w:rPr>
                <w:rFonts w:cstheme="minorHAnsi"/>
                <w:i/>
                <w:color w:val="000000"/>
              </w:rPr>
              <w:t>30</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77</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49</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56</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49</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58</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54</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59</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Support with recruiting staff with the right skills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660"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34</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74</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47</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52</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41</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48</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51</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A4948">
              <w:rPr>
                <w:rFonts w:cstheme="minorHAnsi"/>
                <w:color w:val="000000"/>
              </w:rPr>
              <w:t>50</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Access to Business Growth programmes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45</w:t>
            </w:r>
          </w:p>
        </w:tc>
        <w:tc>
          <w:tcPr>
            <w:tcW w:w="660"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A4948">
              <w:rPr>
                <w:rFonts w:cstheme="minorHAnsi"/>
                <w:i/>
                <w:color w:val="000000"/>
              </w:rPr>
              <w:t>33</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66</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46</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49</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49</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42</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49</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44</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52</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Assistance with E-commerce and internet-based technologies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44</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48</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47</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42</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50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A4948">
              <w:rPr>
                <w:rFonts w:cstheme="minorHAnsi"/>
                <w:color w:val="000000"/>
              </w:rPr>
              <w:t>50</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Support with tax, national insurance law and payments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43</w:t>
            </w:r>
          </w:p>
        </w:tc>
        <w:tc>
          <w:tcPr>
            <w:tcW w:w="660"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40</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58</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39</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38</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59</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41</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50</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44</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A4948">
              <w:rPr>
                <w:rFonts w:cstheme="minorHAnsi"/>
                <w:color w:val="000000"/>
              </w:rPr>
              <w:t>43</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Access to business mentoring, coaching and networking</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660"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26</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66</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42</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38</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42</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39</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57</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Support with Planning Regulations and related matters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41</w:t>
            </w:r>
          </w:p>
        </w:tc>
        <w:tc>
          <w:tcPr>
            <w:tcW w:w="660"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55</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57</w:t>
            </w:r>
          </w:p>
        </w:tc>
        <w:tc>
          <w:tcPr>
            <w:tcW w:w="708"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A4948">
              <w:rPr>
                <w:rFonts w:cstheme="minorHAnsi"/>
                <w:i/>
                <w:color w:val="000000"/>
              </w:rPr>
              <w:t>30</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36</w:t>
            </w:r>
          </w:p>
        </w:tc>
        <w:tc>
          <w:tcPr>
            <w:tcW w:w="709" w:type="dxa"/>
            <w:tcBorders>
              <w:left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DA4948">
              <w:rPr>
                <w:rFonts w:cstheme="minorHAnsi"/>
                <w:b/>
                <w:color w:val="000000"/>
              </w:rPr>
              <w:t>52</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40</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48</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45</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A4948">
              <w:rPr>
                <w:rFonts w:cstheme="minorHAnsi"/>
                <w:color w:val="000000"/>
              </w:rPr>
              <w:t>41</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Pr>
                <w:rFonts w:ascii="Arial" w:hAnsi="Arial" w:cs="Arial"/>
                <w:b w:val="0"/>
                <w:color w:val="000000"/>
                <w:sz w:val="20"/>
              </w:rPr>
              <w:t xml:space="preserve">Support with </w:t>
            </w:r>
            <w:r w:rsidRPr="00CA174B">
              <w:rPr>
                <w:rFonts w:ascii="Arial" w:hAnsi="Arial" w:cs="Arial"/>
                <w:b w:val="0"/>
                <w:color w:val="000000"/>
                <w:sz w:val="20"/>
              </w:rPr>
              <w:t>new product or service development</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37</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22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61</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31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45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36</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44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A4948">
              <w:rPr>
                <w:rFonts w:cstheme="minorHAnsi"/>
                <w:color w:val="000000"/>
              </w:rPr>
              <w:t>41</w:t>
            </w:r>
          </w:p>
        </w:tc>
      </w:tr>
      <w:tr w:rsidR="00877884"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Support to develop new UK markets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35</w:t>
            </w:r>
          </w:p>
        </w:tc>
        <w:tc>
          <w:tcPr>
            <w:tcW w:w="660"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32</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42</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37</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37</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37</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35</w:t>
            </w:r>
          </w:p>
        </w:tc>
        <w:tc>
          <w:tcPr>
            <w:tcW w:w="708"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33</w:t>
            </w:r>
          </w:p>
        </w:tc>
        <w:tc>
          <w:tcPr>
            <w:tcW w:w="709" w:type="dxa"/>
            <w:tcBorders>
              <w:left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37</w:t>
            </w:r>
          </w:p>
        </w:tc>
        <w:tc>
          <w:tcPr>
            <w:tcW w:w="709" w:type="dxa"/>
            <w:tcBorders>
              <w:left w:val="single" w:sz="8" w:space="0" w:color="73A5D8" w:themeColor="accent6"/>
            </w:tcBorders>
            <w:vAlign w:val="center"/>
          </w:tcPr>
          <w:p w:rsidR="00877884" w:rsidRPr="00DA4948" w:rsidRDefault="00877884"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DA4948">
              <w:rPr>
                <w:rFonts w:cstheme="minorHAnsi"/>
                <w:i/>
                <w:color w:val="000000"/>
              </w:rPr>
              <w:t>29</w:t>
            </w:r>
          </w:p>
        </w:tc>
      </w:tr>
      <w:tr w:rsidR="00877884"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877884" w:rsidRPr="00CA174B" w:rsidRDefault="00877884" w:rsidP="001045C0">
            <w:pPr>
              <w:spacing w:before="40" w:after="40"/>
              <w:rPr>
                <w:rFonts w:ascii="Arial" w:hAnsi="Arial" w:cs="Arial"/>
                <w:b w:val="0"/>
                <w:color w:val="000000"/>
                <w:sz w:val="20"/>
              </w:rPr>
            </w:pPr>
            <w:r w:rsidRPr="00CA174B">
              <w:rPr>
                <w:rFonts w:ascii="Arial" w:hAnsi="Arial" w:cs="Arial"/>
                <w:b w:val="0"/>
                <w:color w:val="000000"/>
                <w:sz w:val="20"/>
              </w:rPr>
              <w:t>Support to develop new export markets</w:t>
            </w:r>
          </w:p>
        </w:tc>
        <w:tc>
          <w:tcPr>
            <w:tcW w:w="1009" w:type="dxa"/>
            <w:tcBorders>
              <w:right w:val="single" w:sz="8" w:space="0" w:color="73A5D8" w:themeColor="accent6"/>
            </w:tcBorders>
            <w:vAlign w:val="center"/>
          </w:tcPr>
          <w:p w:rsidR="00877884" w:rsidRPr="00CA174B" w:rsidRDefault="00877884"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16</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36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39</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13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26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16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15</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25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8F26F9" w:rsidRDefault="00877884"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11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877884" w:rsidRPr="00DA4948" w:rsidRDefault="00877884"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10</w:t>
            </w:r>
          </w:p>
        </w:tc>
      </w:tr>
      <w:tr w:rsidR="00DA4948"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DA4948" w:rsidRPr="00CA174B" w:rsidRDefault="00DA4948" w:rsidP="001045C0">
            <w:pPr>
              <w:spacing w:before="40" w:after="40"/>
              <w:rPr>
                <w:rFonts w:ascii="Arial" w:hAnsi="Arial" w:cs="Arial"/>
                <w:b w:val="0"/>
                <w:color w:val="000000"/>
                <w:sz w:val="20"/>
              </w:rPr>
            </w:pPr>
            <w:r w:rsidRPr="00CA174B">
              <w:rPr>
                <w:rFonts w:ascii="Arial" w:hAnsi="Arial" w:cs="Arial"/>
                <w:b w:val="0"/>
                <w:color w:val="000000"/>
                <w:sz w:val="20"/>
              </w:rPr>
              <w:t>Other</w:t>
            </w:r>
          </w:p>
        </w:tc>
        <w:tc>
          <w:tcPr>
            <w:tcW w:w="1009" w:type="dxa"/>
            <w:tcBorders>
              <w:right w:val="single" w:sz="8" w:space="0" w:color="73A5D8" w:themeColor="accent6"/>
            </w:tcBorders>
            <w:vAlign w:val="center"/>
          </w:tcPr>
          <w:p w:rsidR="00DA4948" w:rsidRPr="00CA174B" w:rsidRDefault="00DA4948" w:rsidP="002624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A174B">
              <w:rPr>
                <w:rFonts w:ascii="Arial" w:hAnsi="Arial" w:cs="Arial"/>
                <w:color w:val="000000"/>
              </w:rPr>
              <w:t>6</w:t>
            </w:r>
          </w:p>
        </w:tc>
        <w:tc>
          <w:tcPr>
            <w:tcW w:w="660"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8</w:t>
            </w:r>
          </w:p>
        </w:tc>
        <w:tc>
          <w:tcPr>
            <w:tcW w:w="709"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w:t>
            </w:r>
          </w:p>
        </w:tc>
        <w:tc>
          <w:tcPr>
            <w:tcW w:w="708"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w:t>
            </w:r>
          </w:p>
        </w:tc>
        <w:tc>
          <w:tcPr>
            <w:tcW w:w="709"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w:t>
            </w:r>
          </w:p>
        </w:tc>
        <w:tc>
          <w:tcPr>
            <w:tcW w:w="709"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10</w:t>
            </w:r>
          </w:p>
        </w:tc>
        <w:tc>
          <w:tcPr>
            <w:tcW w:w="709"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7</w:t>
            </w:r>
          </w:p>
        </w:tc>
        <w:tc>
          <w:tcPr>
            <w:tcW w:w="708"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3</w:t>
            </w:r>
          </w:p>
        </w:tc>
        <w:tc>
          <w:tcPr>
            <w:tcW w:w="709" w:type="dxa"/>
            <w:tcBorders>
              <w:left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F26F9">
              <w:rPr>
                <w:rFonts w:cstheme="minorHAnsi"/>
                <w:color w:val="000000"/>
              </w:rPr>
              <w:t>6</w:t>
            </w:r>
          </w:p>
        </w:tc>
        <w:tc>
          <w:tcPr>
            <w:tcW w:w="709" w:type="dxa"/>
            <w:tcBorders>
              <w:left w:val="single" w:sz="8" w:space="0" w:color="73A5D8" w:themeColor="accent6"/>
            </w:tcBorders>
            <w:vAlign w:val="center"/>
          </w:tcPr>
          <w:p w:rsidR="00DA4948" w:rsidRPr="00DA4948" w:rsidRDefault="00DA4948" w:rsidP="00DA494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A4948">
              <w:rPr>
                <w:rFonts w:cstheme="minorHAnsi"/>
                <w:color w:val="000000"/>
              </w:rPr>
              <w:t>6</w:t>
            </w:r>
          </w:p>
        </w:tc>
      </w:tr>
      <w:tr w:rsidR="00DA4948" w:rsidTr="001045C0">
        <w:tc>
          <w:tcPr>
            <w:cnfStyle w:val="001000000000" w:firstRow="0" w:lastRow="0" w:firstColumn="1" w:lastColumn="0" w:oddVBand="0" w:evenVBand="0" w:oddHBand="0" w:evenHBand="0" w:firstRowFirstColumn="0" w:firstRowLastColumn="0" w:lastRowFirstColumn="0" w:lastRowLastColumn="0"/>
            <w:tcW w:w="3119" w:type="dxa"/>
            <w:vAlign w:val="bottom"/>
          </w:tcPr>
          <w:p w:rsidR="00DA4948" w:rsidRPr="00CA174B" w:rsidRDefault="00DA4948" w:rsidP="001045C0">
            <w:pPr>
              <w:spacing w:before="40" w:after="40"/>
              <w:rPr>
                <w:rFonts w:ascii="Arial" w:hAnsi="Arial" w:cs="Arial"/>
                <w:b w:val="0"/>
                <w:color w:val="000000"/>
                <w:sz w:val="20"/>
              </w:rPr>
            </w:pPr>
            <w:r w:rsidRPr="00CA174B">
              <w:rPr>
                <w:rFonts w:ascii="Arial" w:hAnsi="Arial" w:cs="Arial"/>
                <w:b w:val="0"/>
                <w:color w:val="000000"/>
                <w:sz w:val="20"/>
              </w:rPr>
              <w:t>None of these</w:t>
            </w:r>
          </w:p>
        </w:tc>
        <w:tc>
          <w:tcPr>
            <w:tcW w:w="1009" w:type="dxa"/>
            <w:tcBorders>
              <w:right w:val="single" w:sz="8" w:space="0" w:color="73A5D8" w:themeColor="accent6"/>
            </w:tcBorders>
            <w:vAlign w:val="center"/>
          </w:tcPr>
          <w:p w:rsidR="00DA4948" w:rsidRPr="00CA174B" w:rsidRDefault="00DA4948" w:rsidP="002624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A174B">
              <w:rPr>
                <w:rFonts w:ascii="Arial" w:hAnsi="Arial" w:cs="Arial"/>
                <w:color w:val="000000"/>
              </w:rPr>
              <w:t>10</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7</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DA4948"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11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DA4948"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DA4948">
              <w:rPr>
                <w:rFonts w:cstheme="minorHAnsi"/>
                <w:b/>
                <w:color w:val="000000"/>
              </w:rPr>
              <w:t>15</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8F26F9"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F26F9">
              <w:rPr>
                <w:rFonts w:cstheme="minorHAnsi"/>
                <w:color w:val="000000"/>
              </w:rPr>
              <w:t>11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DA4948" w:rsidRDefault="00DA4948" w:rsidP="008F26F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DA4948">
              <w:rPr>
                <w:rFonts w:cstheme="minorHAnsi"/>
                <w:i/>
                <w:color w:val="000000"/>
              </w:rPr>
              <w:t>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DA4948" w:rsidRPr="00DA4948" w:rsidRDefault="00DA4948" w:rsidP="00DA494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A4948">
              <w:rPr>
                <w:rFonts w:cstheme="minorHAnsi"/>
                <w:color w:val="000000"/>
              </w:rPr>
              <w:t>7</w:t>
            </w:r>
          </w:p>
        </w:tc>
      </w:tr>
      <w:tr w:rsidR="008F26F9" w:rsidRPr="003C0922" w:rsidTr="0010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center"/>
          </w:tcPr>
          <w:p w:rsidR="008F26F9" w:rsidRPr="003C0922" w:rsidRDefault="008F26F9" w:rsidP="001045C0">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09" w:type="dxa"/>
            <w:tcBorders>
              <w:righ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1515</w:t>
            </w:r>
          </w:p>
        </w:tc>
        <w:tc>
          <w:tcPr>
            <w:tcW w:w="660" w:type="dxa"/>
            <w:tcBorders>
              <w:left w:val="single" w:sz="8" w:space="0" w:color="73A5D8" w:themeColor="accent6"/>
              <w:righ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75</w:t>
            </w:r>
          </w:p>
        </w:tc>
        <w:tc>
          <w:tcPr>
            <w:tcW w:w="709" w:type="dxa"/>
            <w:tcBorders>
              <w:left w:val="single" w:sz="8" w:space="0" w:color="73A5D8" w:themeColor="accent6"/>
              <w:righ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w:t>
            </w:r>
          </w:p>
        </w:tc>
        <w:tc>
          <w:tcPr>
            <w:tcW w:w="708" w:type="dxa"/>
            <w:tcBorders>
              <w:left w:val="single" w:sz="8" w:space="0" w:color="73A5D8" w:themeColor="accent6"/>
              <w:righ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325</w:t>
            </w:r>
          </w:p>
        </w:tc>
        <w:tc>
          <w:tcPr>
            <w:tcW w:w="709" w:type="dxa"/>
            <w:tcBorders>
              <w:lef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89</w:t>
            </w:r>
          </w:p>
        </w:tc>
        <w:tc>
          <w:tcPr>
            <w:tcW w:w="709" w:type="dxa"/>
            <w:tcBorders>
              <w:lef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133</w:t>
            </w:r>
          </w:p>
        </w:tc>
        <w:tc>
          <w:tcPr>
            <w:tcW w:w="709" w:type="dxa"/>
            <w:tcBorders>
              <w:lef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461</w:t>
            </w:r>
          </w:p>
        </w:tc>
        <w:tc>
          <w:tcPr>
            <w:tcW w:w="708" w:type="dxa"/>
            <w:tcBorders>
              <w:lef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95</w:t>
            </w:r>
          </w:p>
        </w:tc>
        <w:tc>
          <w:tcPr>
            <w:tcW w:w="709" w:type="dxa"/>
            <w:tcBorders>
              <w:lef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88</w:t>
            </w:r>
          </w:p>
        </w:tc>
        <w:tc>
          <w:tcPr>
            <w:tcW w:w="709" w:type="dxa"/>
            <w:tcBorders>
              <w:left w:val="single" w:sz="8" w:space="0" w:color="73A5D8" w:themeColor="accent6"/>
            </w:tcBorders>
            <w:vAlign w:val="center"/>
          </w:tcPr>
          <w:p w:rsidR="008F26F9" w:rsidRPr="003C0922" w:rsidRDefault="008F26F9" w:rsidP="0026243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231</w:t>
            </w:r>
          </w:p>
        </w:tc>
      </w:tr>
    </w:tbl>
    <w:p w:rsidR="008F26F9" w:rsidRDefault="008F26F9" w:rsidP="008F26F9">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D135B0" w:rsidRDefault="00D135B0" w:rsidP="00D135B0">
      <w:pPr>
        <w:pStyle w:val="Heading3"/>
      </w:pPr>
      <w:bookmarkStart w:id="48" w:name="_Toc394057539"/>
      <w:r>
        <w:lastRenderedPageBreak/>
        <w:t>Potential sources of support</w:t>
      </w:r>
      <w:bookmarkEnd w:id="48"/>
    </w:p>
    <w:p w:rsidR="00D135B0" w:rsidRDefault="00272C71" w:rsidP="00D135B0">
      <w:pPr>
        <w:pStyle w:val="BodyText"/>
      </w:pPr>
      <w:r>
        <w:t>Private sector employers were asked about the sources of support or advice they would use.  This was an unprompted question and there were many different sources cited.  The most frequently cited ones were the county/district council (16%), an accountant (14%), the internet (i.e. web-based business advice) (12%) and head office/in-house (12%).</w:t>
      </w:r>
    </w:p>
    <w:p w:rsidR="00272C71" w:rsidRDefault="00272C71" w:rsidP="00D135B0">
      <w:pPr>
        <w:pStyle w:val="BodyText"/>
      </w:pPr>
      <w:r>
        <w:t xml:space="preserve">Fewer </w:t>
      </w:r>
      <w:r w:rsidR="00E3671E">
        <w:t>employers</w:t>
      </w:r>
      <w:r>
        <w:t xml:space="preserve"> cited:  other business owners (8%); university/college (6%); internet search/google (6%); their bank (5%); trade association (5%); district councils (i.e. for business rates etc) (5%)</w:t>
      </w:r>
      <w:r w:rsidR="00917B56">
        <w:t xml:space="preserve">; </w:t>
      </w:r>
      <w:r w:rsidR="0026243D">
        <w:t xml:space="preserve">private </w:t>
      </w:r>
      <w:r w:rsidR="00917B56">
        <w:t>training provider (4%) and Federation of Small Businesses (4%).</w:t>
      </w:r>
    </w:p>
    <w:p w:rsidR="0026243D" w:rsidRDefault="0026243D" w:rsidP="00D135B0">
      <w:pPr>
        <w:pStyle w:val="BodyText"/>
      </w:pPr>
      <w:r>
        <w:t>One per cent of employers mentioned the GLLEP, which increases to 11% of 100+ employers.</w:t>
      </w:r>
    </w:p>
    <w:p w:rsidR="0026243D" w:rsidRDefault="0026243D" w:rsidP="00D135B0">
      <w:pPr>
        <w:pStyle w:val="BodyText"/>
      </w:pPr>
      <w:r>
        <w:t>Two per cent of employers mentioned the Chamber of Commerce, increasing to 7% of employers in Lincoln.</w:t>
      </w:r>
    </w:p>
    <w:p w:rsidR="0026243D" w:rsidRDefault="0026243D" w:rsidP="0026243D">
      <w:pPr>
        <w:pStyle w:val="Caption"/>
      </w:pPr>
      <w:r>
        <w:lastRenderedPageBreak/>
        <w:t xml:space="preserve">Figure 5.13:   Potential sources of support or advice – unprompted, multiple response (all </w:t>
      </w:r>
      <w:r w:rsidR="004B554D">
        <w:t xml:space="preserve">private sector </w:t>
      </w:r>
      <w:r>
        <w:t xml:space="preserve">employers) </w:t>
      </w:r>
    </w:p>
    <w:p w:rsidR="0026243D" w:rsidRDefault="00CD232E" w:rsidP="0026243D">
      <w:pPr>
        <w:pStyle w:val="Caption"/>
      </w:pPr>
      <w:r w:rsidRPr="00CD232E">
        <w:rPr>
          <w:noProof/>
          <w:lang w:eastAsia="en-GB"/>
        </w:rPr>
        <w:drawing>
          <wp:inline distT="0" distB="0" distL="0" distR="0">
            <wp:extent cx="6181725" cy="7286625"/>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243D" w:rsidRDefault="0026243D" w:rsidP="0026243D">
      <w:pPr>
        <w:pStyle w:val="BodyText"/>
        <w:rPr>
          <w:rFonts w:cs="Arial"/>
          <w:sz w:val="18"/>
        </w:rPr>
      </w:pPr>
      <w:r>
        <w:rPr>
          <w:rFonts w:cs="Arial"/>
          <w:sz w:val="18"/>
        </w:rPr>
        <w:t>Unweighted sample base = 1466</w:t>
      </w:r>
    </w:p>
    <w:p w:rsidR="0026243D" w:rsidRPr="0073300F" w:rsidRDefault="0026243D" w:rsidP="0026243D">
      <w:pPr>
        <w:pStyle w:val="BodyText"/>
        <w:rPr>
          <w:sz w:val="18"/>
        </w:rPr>
      </w:pPr>
      <w:r>
        <w:rPr>
          <w:rFonts w:cs="Arial"/>
          <w:sz w:val="18"/>
        </w:rPr>
        <w:t>QD3.  If you were to seek support or advice in any of these areas, where would you go?</w:t>
      </w:r>
    </w:p>
    <w:p w:rsidR="0026243D" w:rsidRPr="00D135B0" w:rsidRDefault="0026243D" w:rsidP="00D135B0">
      <w:pPr>
        <w:pStyle w:val="BodyText"/>
      </w:pPr>
    </w:p>
    <w:p w:rsidR="00D135B0" w:rsidRDefault="00D135B0" w:rsidP="00D135B0">
      <w:pPr>
        <w:pStyle w:val="Heading2"/>
      </w:pPr>
      <w:bookmarkStart w:id="49" w:name="_Toc394057540"/>
      <w:r>
        <w:lastRenderedPageBreak/>
        <w:t>Obstacles to business growth</w:t>
      </w:r>
      <w:bookmarkEnd w:id="49"/>
    </w:p>
    <w:p w:rsidR="00D135B0" w:rsidRDefault="00E3671E" w:rsidP="00D135B0">
      <w:pPr>
        <w:pStyle w:val="BodyText"/>
      </w:pPr>
      <w:r>
        <w:t>Employers</w:t>
      </w:r>
      <w:r w:rsidR="004B554D">
        <w:t xml:space="preserve"> were prompted with a list of possible obstacles to business growth.  Their responses are summarised in the figure below:</w:t>
      </w:r>
    </w:p>
    <w:p w:rsidR="004B554D" w:rsidRDefault="004B554D" w:rsidP="004B554D">
      <w:pPr>
        <w:pStyle w:val="Caption"/>
      </w:pPr>
      <w:r>
        <w:t xml:space="preserve">Figure 5.14:  Obstacles to business growth – prompted, multiple response (all private sector employers) </w:t>
      </w:r>
    </w:p>
    <w:p w:rsidR="004B554D" w:rsidRDefault="0059513F" w:rsidP="004B554D">
      <w:pPr>
        <w:pStyle w:val="Caption"/>
      </w:pPr>
      <w:r w:rsidRPr="0059513F">
        <w:rPr>
          <w:noProof/>
          <w:lang w:eastAsia="en-GB"/>
        </w:rPr>
        <w:drawing>
          <wp:inline distT="0" distB="0" distL="0" distR="0">
            <wp:extent cx="5895975" cy="5067300"/>
            <wp:effectExtent l="0" t="0" r="0"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B554D" w:rsidRDefault="004B554D" w:rsidP="004B554D">
      <w:pPr>
        <w:pStyle w:val="BodyText"/>
        <w:rPr>
          <w:rFonts w:cs="Arial"/>
          <w:sz w:val="18"/>
        </w:rPr>
      </w:pPr>
      <w:r>
        <w:rPr>
          <w:rFonts w:cs="Arial"/>
          <w:sz w:val="18"/>
        </w:rPr>
        <w:t>Unweighted sample base = 1466</w:t>
      </w:r>
    </w:p>
    <w:p w:rsidR="004B554D" w:rsidRDefault="004B554D" w:rsidP="004B554D">
      <w:pPr>
        <w:pStyle w:val="BodyText"/>
      </w:pPr>
      <w:r>
        <w:rPr>
          <w:rFonts w:cs="Arial"/>
          <w:sz w:val="18"/>
        </w:rPr>
        <w:t>Q</w:t>
      </w:r>
      <w:r w:rsidR="0059513F">
        <w:rPr>
          <w:rFonts w:cs="Arial"/>
          <w:sz w:val="18"/>
        </w:rPr>
        <w:t>E4</w:t>
      </w:r>
      <w:r>
        <w:rPr>
          <w:rFonts w:cs="Arial"/>
          <w:sz w:val="18"/>
        </w:rPr>
        <w:t xml:space="preserve">.  </w:t>
      </w:r>
      <w:r w:rsidR="0059513F">
        <w:rPr>
          <w:rFonts w:cs="Arial"/>
          <w:sz w:val="18"/>
        </w:rPr>
        <w:t>Would you say that any of the following factors are preventing your business from growing?</w:t>
      </w:r>
    </w:p>
    <w:p w:rsidR="004B554D" w:rsidRDefault="001A0EC4" w:rsidP="00D135B0">
      <w:pPr>
        <w:pStyle w:val="BodyText"/>
      </w:pPr>
      <w:r>
        <w:t>Poor transport infrastructure features strongly as an obstacle to business growth, cited by three in ten employers (30%).  Compared with the next two most frequently cited obstacles of lack of capital for investment (25%) and poor cash flow (24%), the transport infrastructure is not in their control</w:t>
      </w:r>
      <w:r w:rsidR="007C03BF">
        <w:t>, without moving to a location where it is better</w:t>
      </w:r>
      <w:r>
        <w:t>.  Of course, in many cases neither is lack of capital or cash flow, although there is more scope for fixing difficulties through re-financing</w:t>
      </w:r>
      <w:r w:rsidR="007C03BF">
        <w:t>, restructuring</w:t>
      </w:r>
      <w:r>
        <w:t xml:space="preserve"> and borrowing</w:t>
      </w:r>
      <w:r w:rsidR="007C03BF">
        <w:t xml:space="preserve"> from within the business</w:t>
      </w:r>
      <w:r>
        <w:t xml:space="preserve">. </w:t>
      </w:r>
    </w:p>
    <w:p w:rsidR="007C03BF" w:rsidRDefault="007C03BF" w:rsidP="00D135B0">
      <w:pPr>
        <w:pStyle w:val="BodyText"/>
      </w:pPr>
      <w:r>
        <w:t>Poor transport infrastructure is most likely to be an issue in East Lindsey (44%) and Boston (43%).  It is significantly more likely than average to be an issue in Lincoln (37%).</w:t>
      </w:r>
    </w:p>
    <w:p w:rsidR="00C55A10" w:rsidRDefault="004B5B7B" w:rsidP="00D135B0">
      <w:pPr>
        <w:pStyle w:val="BodyText"/>
      </w:pPr>
      <w:r>
        <w:lastRenderedPageBreak/>
        <w:t>Boston-based employers are significantly more likely than those based in other districts to cite the availability of appropriate local skills training</w:t>
      </w:r>
      <w:r w:rsidR="00A16633">
        <w:t xml:space="preserve"> (19%)</w:t>
      </w:r>
      <w:r>
        <w:t>, while lack of capital investment is particularly an issue for employers in West Lindsey</w:t>
      </w:r>
      <w:r w:rsidR="00A16633">
        <w:t xml:space="preserve"> (35%)</w:t>
      </w:r>
      <w:r>
        <w:t>.</w:t>
      </w:r>
    </w:p>
    <w:p w:rsidR="00C55A10" w:rsidRDefault="00C55A10" w:rsidP="00C55A10">
      <w:pPr>
        <w:pStyle w:val="Caption"/>
      </w:pPr>
      <w:r>
        <w:t xml:space="preserve">Table 5.15: Obstacles to business growth – prompted, multiple response, by district (all </w:t>
      </w:r>
      <w:r w:rsidR="0099786E">
        <w:t xml:space="preserve">private sector </w:t>
      </w:r>
      <w:r>
        <w:t>employers)</w:t>
      </w:r>
    </w:p>
    <w:tbl>
      <w:tblPr>
        <w:tblStyle w:val="LightList-Accent6"/>
        <w:tblW w:w="10365" w:type="dxa"/>
        <w:tblInd w:w="-318" w:type="dxa"/>
        <w:tblLook w:val="04A0" w:firstRow="1" w:lastRow="0" w:firstColumn="1" w:lastColumn="0" w:noHBand="0" w:noVBand="1"/>
      </w:tblPr>
      <w:tblGrid>
        <w:gridCol w:w="2269"/>
        <w:gridCol w:w="1009"/>
        <w:gridCol w:w="757"/>
        <w:gridCol w:w="660"/>
        <w:gridCol w:w="709"/>
        <w:gridCol w:w="708"/>
        <w:gridCol w:w="709"/>
        <w:gridCol w:w="709"/>
        <w:gridCol w:w="709"/>
        <w:gridCol w:w="708"/>
        <w:gridCol w:w="709"/>
        <w:gridCol w:w="709"/>
      </w:tblGrid>
      <w:tr w:rsidR="00C55A10" w:rsidRPr="003C0922" w:rsidTr="00877884">
        <w:trPr>
          <w:cnfStyle w:val="100000000000" w:firstRow="1" w:lastRow="0" w:firstColumn="0" w:lastColumn="0" w:oddVBand="0" w:evenVBand="0" w:oddHBand="0" w:evenHBand="0" w:firstRowFirstColumn="0" w:firstRowLastColumn="0" w:lastRowFirstColumn="0" w:lastRowLastColumn="0"/>
          <w:cantSplit/>
          <w:trHeight w:val="1794"/>
        </w:trPr>
        <w:tc>
          <w:tcPr>
            <w:cnfStyle w:val="001000000000" w:firstRow="0" w:lastRow="0" w:firstColumn="1" w:lastColumn="0" w:oddVBand="0" w:evenVBand="0" w:oddHBand="0" w:evenHBand="0" w:firstRowFirstColumn="0" w:firstRowLastColumn="0" w:lastRowFirstColumn="0" w:lastRowLastColumn="0"/>
            <w:tcW w:w="2269" w:type="dxa"/>
            <w:vAlign w:val="bottom"/>
          </w:tcPr>
          <w:p w:rsidR="00C55A10" w:rsidRPr="003C0922" w:rsidRDefault="00C55A10" w:rsidP="0099786E">
            <w:pPr>
              <w:spacing w:before="60" w:after="60"/>
              <w:rPr>
                <w:rFonts w:cstheme="minorHAnsi"/>
                <w:b w:val="0"/>
                <w:sz w:val="20"/>
              </w:rPr>
            </w:pPr>
            <w:r>
              <w:rPr>
                <w:rFonts w:cstheme="minorHAnsi"/>
                <w:b w:val="0"/>
                <w:sz w:val="20"/>
              </w:rPr>
              <w:t>Column percentages</w:t>
            </w:r>
          </w:p>
        </w:tc>
        <w:tc>
          <w:tcPr>
            <w:tcW w:w="1009" w:type="dxa"/>
            <w:textDirection w:val="tbRl"/>
            <w:vAlign w:val="center"/>
          </w:tcPr>
          <w:p w:rsidR="00C55A10" w:rsidRPr="0082125A" w:rsidRDefault="00C55A10" w:rsidP="0099786E">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Greater Lincolnshire</w:t>
            </w:r>
          </w:p>
        </w:tc>
        <w:tc>
          <w:tcPr>
            <w:tcW w:w="757" w:type="dxa"/>
            <w:tcBorders>
              <w:bottom w:val="single" w:sz="8" w:space="0" w:color="73A5D8" w:themeColor="accent6"/>
            </w:tcBorders>
            <w:textDirection w:val="tbRl"/>
            <w:vAlign w:val="center"/>
          </w:tcPr>
          <w:p w:rsidR="00C55A10" w:rsidRPr="0082125A" w:rsidRDefault="00C55A10" w:rsidP="0099786E">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Lincolnshire county</w:t>
            </w:r>
          </w:p>
        </w:tc>
        <w:tc>
          <w:tcPr>
            <w:tcW w:w="660"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North East Lincolnshire</w:t>
            </w:r>
          </w:p>
        </w:tc>
        <w:tc>
          <w:tcPr>
            <w:tcW w:w="709"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North Lincolnshire</w:t>
            </w:r>
          </w:p>
        </w:tc>
        <w:tc>
          <w:tcPr>
            <w:tcW w:w="708"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Boston</w:t>
            </w:r>
          </w:p>
        </w:tc>
        <w:tc>
          <w:tcPr>
            <w:tcW w:w="709"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East Lindsey</w:t>
            </w:r>
          </w:p>
        </w:tc>
        <w:tc>
          <w:tcPr>
            <w:tcW w:w="709"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Lincoln</w:t>
            </w:r>
          </w:p>
        </w:tc>
        <w:tc>
          <w:tcPr>
            <w:tcW w:w="709"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North Kesteven</w:t>
            </w:r>
          </w:p>
        </w:tc>
        <w:tc>
          <w:tcPr>
            <w:tcW w:w="708"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South Holland</w:t>
            </w:r>
          </w:p>
        </w:tc>
        <w:tc>
          <w:tcPr>
            <w:tcW w:w="709"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South Kesteven</w:t>
            </w:r>
          </w:p>
        </w:tc>
        <w:tc>
          <w:tcPr>
            <w:tcW w:w="709" w:type="dxa"/>
            <w:tcBorders>
              <w:bottom w:val="single" w:sz="8" w:space="0" w:color="73A5D8" w:themeColor="accent6"/>
            </w:tcBorders>
            <w:textDirection w:val="tbRl"/>
            <w:vAlign w:val="center"/>
          </w:tcPr>
          <w:p w:rsidR="00C55A10" w:rsidRPr="0082125A" w:rsidRDefault="00C55A10" w:rsidP="0099786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2125A">
              <w:rPr>
                <w:rFonts w:eastAsia="Times New Roman" w:cstheme="minorHAnsi"/>
                <w:lang w:eastAsia="en-GB"/>
              </w:rPr>
              <w:t>West Lindsey</w:t>
            </w:r>
          </w:p>
        </w:tc>
      </w:tr>
      <w:tr w:rsidR="0055786D"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Poor transport infrastructure</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30</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35</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77884">
              <w:rPr>
                <w:rFonts w:cstheme="minorHAnsi"/>
                <w:i/>
                <w:color w:val="000000"/>
              </w:rPr>
              <w:t>17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77884">
              <w:rPr>
                <w:rFonts w:cstheme="minorHAnsi"/>
                <w:i/>
                <w:color w:val="000000"/>
              </w:rPr>
              <w:t>17</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43</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44</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37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35</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30</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28</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26</w:t>
            </w:r>
          </w:p>
        </w:tc>
      </w:tr>
      <w:tr w:rsidR="0055786D"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Lack of capital for investment</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25</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26</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23</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28</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35</w:t>
            </w:r>
          </w:p>
        </w:tc>
      </w:tr>
      <w:tr w:rsidR="0055786D"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Poor cash flow</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24</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25</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22</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23</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20</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26</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23</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29</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30</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20</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27</w:t>
            </w:r>
          </w:p>
        </w:tc>
      </w:tr>
      <w:tr w:rsidR="0055786D"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Availability of appropriately skilled staff</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19</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19</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24</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77884">
              <w:rPr>
                <w:rFonts w:cstheme="minorHAnsi"/>
                <w:i/>
                <w:color w:val="000000"/>
              </w:rPr>
              <w:t>13</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18</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22</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17</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24</w:t>
            </w:r>
          </w:p>
        </w:tc>
        <w:tc>
          <w:tcPr>
            <w:tcW w:w="708"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18</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18</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17</w:t>
            </w:r>
          </w:p>
        </w:tc>
      </w:tr>
      <w:tr w:rsidR="0055786D"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Poor IT infrastructure</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19</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21</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77884">
              <w:rPr>
                <w:rFonts w:cstheme="minorHAnsi"/>
                <w:i/>
                <w:color w:val="000000"/>
              </w:rPr>
              <w:t>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17</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21</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24</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20</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25</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19</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17</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21</w:t>
            </w:r>
          </w:p>
        </w:tc>
      </w:tr>
      <w:tr w:rsidR="0055786D"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The way the local planning and development control system operates</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19</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21</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16</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77884">
              <w:rPr>
                <w:rFonts w:cstheme="minorHAnsi"/>
                <w:i/>
                <w:color w:val="000000"/>
              </w:rPr>
              <w:t>12</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24</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26</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15</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26</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18</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17</w:t>
            </w:r>
          </w:p>
        </w:tc>
      </w:tr>
      <w:tr w:rsidR="0055786D"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Poor county profile i.e. in terms of attracting staff from outside the county</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16</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17</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25</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21</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18</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15</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15</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877884">
              <w:rPr>
                <w:rFonts w:cstheme="minorHAnsi"/>
                <w:i/>
                <w:color w:val="000000"/>
              </w:rPr>
              <w:t>10</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r>
      <w:tr w:rsidR="0055786D"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Lack of available premises/land</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14</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15</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77884">
              <w:rPr>
                <w:rFonts w:cstheme="minorHAnsi"/>
                <w:i/>
                <w:color w:val="000000"/>
              </w:rPr>
              <w:t>9</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17</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22</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13</w:t>
            </w:r>
          </w:p>
        </w:tc>
      </w:tr>
      <w:tr w:rsidR="0055786D"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Availability of appropriate local skills training</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8</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877884">
              <w:rPr>
                <w:rFonts w:cstheme="minorHAnsi"/>
                <w:b/>
                <w:color w:val="000000"/>
              </w:rPr>
              <w:t>19</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15</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16</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8</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12</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r>
      <w:tr w:rsidR="0055786D"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Lack of business support services</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13</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14</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12</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18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877884">
              <w:rPr>
                <w:rFonts w:cstheme="minorHAnsi"/>
                <w:b/>
                <w:color w:val="000000"/>
              </w:rPr>
              <w:t>19</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877884">
              <w:rPr>
                <w:rFonts w:cstheme="minorHAnsi"/>
                <w:i/>
                <w:color w:val="000000"/>
              </w:rPr>
              <w:t>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12</w:t>
            </w:r>
          </w:p>
        </w:tc>
      </w:tr>
      <w:tr w:rsidR="0055786D"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Poor sector profile</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12</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18</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15</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10</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r>
      <w:tr w:rsidR="0055786D"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55786D" w:rsidRPr="00877884" w:rsidRDefault="0055786D" w:rsidP="00877884">
            <w:pPr>
              <w:spacing w:before="60" w:after="60"/>
              <w:rPr>
                <w:rFonts w:cstheme="minorHAnsi"/>
                <w:b w:val="0"/>
                <w:color w:val="000000"/>
                <w:sz w:val="20"/>
              </w:rPr>
            </w:pPr>
            <w:r w:rsidRPr="00877884">
              <w:rPr>
                <w:rFonts w:cstheme="minorHAnsi"/>
                <w:b w:val="0"/>
                <w:color w:val="000000"/>
                <w:sz w:val="20"/>
              </w:rPr>
              <w:t>Poor local supply chain</w:t>
            </w:r>
          </w:p>
        </w:tc>
        <w:tc>
          <w:tcPr>
            <w:tcW w:w="1009" w:type="dxa"/>
            <w:tcBorders>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10</w:t>
            </w:r>
          </w:p>
        </w:tc>
        <w:tc>
          <w:tcPr>
            <w:tcW w:w="757"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10</w:t>
            </w:r>
          </w:p>
        </w:tc>
        <w:tc>
          <w:tcPr>
            <w:tcW w:w="660"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10</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10</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8</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11</w:t>
            </w:r>
          </w:p>
        </w:tc>
        <w:tc>
          <w:tcPr>
            <w:tcW w:w="708"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7</w:t>
            </w:r>
          </w:p>
        </w:tc>
        <w:tc>
          <w:tcPr>
            <w:tcW w:w="709" w:type="dxa"/>
            <w:tcBorders>
              <w:left w:val="single" w:sz="8" w:space="0" w:color="73A5D8" w:themeColor="accent6"/>
              <w:righ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6</w:t>
            </w:r>
          </w:p>
        </w:tc>
        <w:tc>
          <w:tcPr>
            <w:tcW w:w="709" w:type="dxa"/>
            <w:tcBorders>
              <w:left w:val="single" w:sz="8" w:space="0" w:color="73A5D8" w:themeColor="accent6"/>
            </w:tcBorders>
            <w:vAlign w:val="center"/>
          </w:tcPr>
          <w:p w:rsidR="0055786D" w:rsidRPr="00877884" w:rsidRDefault="0055786D"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8</w:t>
            </w:r>
          </w:p>
        </w:tc>
      </w:tr>
      <w:tr w:rsidR="00877884"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877884" w:rsidRPr="00877884" w:rsidRDefault="00877884" w:rsidP="00877884">
            <w:pPr>
              <w:spacing w:before="60" w:after="60"/>
              <w:rPr>
                <w:rFonts w:cstheme="minorHAnsi"/>
                <w:b w:val="0"/>
                <w:color w:val="000000"/>
                <w:sz w:val="20"/>
              </w:rPr>
            </w:pPr>
            <w:r w:rsidRPr="00877884">
              <w:rPr>
                <w:rFonts w:cstheme="minorHAnsi"/>
                <w:b w:val="0"/>
                <w:color w:val="000000"/>
                <w:sz w:val="20"/>
              </w:rPr>
              <w:t>Other</w:t>
            </w:r>
          </w:p>
        </w:tc>
        <w:tc>
          <w:tcPr>
            <w:tcW w:w="1009" w:type="dxa"/>
            <w:tcBorders>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10</w:t>
            </w:r>
          </w:p>
        </w:tc>
        <w:tc>
          <w:tcPr>
            <w:tcW w:w="757"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10</w:t>
            </w:r>
          </w:p>
        </w:tc>
        <w:tc>
          <w:tcPr>
            <w:tcW w:w="660"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8</w:t>
            </w:r>
          </w:p>
        </w:tc>
        <w:tc>
          <w:tcPr>
            <w:tcW w:w="709"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7</w:t>
            </w:r>
          </w:p>
        </w:tc>
        <w:tc>
          <w:tcPr>
            <w:tcW w:w="708"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09"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8</w:t>
            </w:r>
          </w:p>
        </w:tc>
        <w:tc>
          <w:tcPr>
            <w:tcW w:w="709"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7</w:t>
            </w:r>
          </w:p>
        </w:tc>
        <w:tc>
          <w:tcPr>
            <w:tcW w:w="709"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10</w:t>
            </w:r>
          </w:p>
        </w:tc>
        <w:tc>
          <w:tcPr>
            <w:tcW w:w="708"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14</w:t>
            </w:r>
          </w:p>
        </w:tc>
        <w:tc>
          <w:tcPr>
            <w:tcW w:w="709"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09" w:type="dxa"/>
            <w:tcBorders>
              <w:left w:val="single" w:sz="8" w:space="0" w:color="73A5D8" w:themeColor="accent6"/>
            </w:tcBorders>
            <w:vAlign w:val="center"/>
          </w:tcPr>
          <w:p w:rsidR="00877884" w:rsidRPr="00877884" w:rsidRDefault="00877884" w:rsidP="008778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10</w:t>
            </w:r>
          </w:p>
        </w:tc>
      </w:tr>
      <w:tr w:rsidR="00877884" w:rsidTr="00877884">
        <w:tc>
          <w:tcPr>
            <w:cnfStyle w:val="001000000000" w:firstRow="0" w:lastRow="0" w:firstColumn="1" w:lastColumn="0" w:oddVBand="0" w:evenVBand="0" w:oddHBand="0" w:evenHBand="0" w:firstRowFirstColumn="0" w:firstRowLastColumn="0" w:lastRowFirstColumn="0" w:lastRowLastColumn="0"/>
            <w:tcW w:w="2269" w:type="dxa"/>
            <w:vAlign w:val="center"/>
          </w:tcPr>
          <w:p w:rsidR="00877884" w:rsidRPr="00877884" w:rsidRDefault="00877884" w:rsidP="00877884">
            <w:pPr>
              <w:spacing w:before="60" w:after="60"/>
              <w:rPr>
                <w:rFonts w:cstheme="minorHAnsi"/>
                <w:b w:val="0"/>
                <w:color w:val="000000"/>
              </w:rPr>
            </w:pPr>
            <w:r w:rsidRPr="00877884">
              <w:rPr>
                <w:rFonts w:cstheme="minorHAnsi"/>
                <w:b w:val="0"/>
                <w:color w:val="000000"/>
              </w:rPr>
              <w:t>None</w:t>
            </w:r>
          </w:p>
        </w:tc>
        <w:tc>
          <w:tcPr>
            <w:tcW w:w="1009" w:type="dxa"/>
            <w:tcBorders>
              <w:righ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29</w:t>
            </w:r>
          </w:p>
        </w:tc>
        <w:tc>
          <w:tcPr>
            <w:tcW w:w="757"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25</w:t>
            </w:r>
          </w:p>
        </w:tc>
        <w:tc>
          <w:tcPr>
            <w:tcW w:w="660"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33</w:t>
            </w:r>
          </w:p>
        </w:tc>
        <w:tc>
          <w:tcPr>
            <w:tcW w:w="709"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41</w:t>
            </w:r>
          </w:p>
        </w:tc>
        <w:tc>
          <w:tcPr>
            <w:tcW w:w="708" w:type="dxa"/>
            <w:tcBorders>
              <w:left w:val="single" w:sz="8" w:space="0" w:color="73A5D8" w:themeColor="accent6"/>
              <w:righ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22</w:t>
            </w:r>
          </w:p>
        </w:tc>
        <w:tc>
          <w:tcPr>
            <w:tcW w:w="709" w:type="dxa"/>
            <w:tcBorders>
              <w:lef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22</w:t>
            </w:r>
          </w:p>
        </w:tc>
        <w:tc>
          <w:tcPr>
            <w:tcW w:w="709" w:type="dxa"/>
            <w:tcBorders>
              <w:lef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35</w:t>
            </w:r>
          </w:p>
        </w:tc>
        <w:tc>
          <w:tcPr>
            <w:tcW w:w="709" w:type="dxa"/>
            <w:tcBorders>
              <w:lef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17</w:t>
            </w:r>
          </w:p>
        </w:tc>
        <w:tc>
          <w:tcPr>
            <w:tcW w:w="708" w:type="dxa"/>
            <w:tcBorders>
              <w:lef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29</w:t>
            </w:r>
          </w:p>
        </w:tc>
        <w:tc>
          <w:tcPr>
            <w:tcW w:w="709" w:type="dxa"/>
            <w:tcBorders>
              <w:lef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28</w:t>
            </w:r>
          </w:p>
        </w:tc>
        <w:tc>
          <w:tcPr>
            <w:tcW w:w="709" w:type="dxa"/>
            <w:tcBorders>
              <w:left w:val="single" w:sz="8" w:space="0" w:color="73A5D8" w:themeColor="accent6"/>
            </w:tcBorders>
            <w:vAlign w:val="center"/>
          </w:tcPr>
          <w:p w:rsidR="00877884" w:rsidRPr="00877884" w:rsidRDefault="00877884" w:rsidP="008778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24</w:t>
            </w:r>
          </w:p>
        </w:tc>
      </w:tr>
      <w:tr w:rsidR="00C55A10" w:rsidRPr="003C0922" w:rsidTr="0087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55A10" w:rsidRPr="003C0922" w:rsidRDefault="00C55A10" w:rsidP="0099786E">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09" w:type="dxa"/>
            <w:tcBorders>
              <w:right w:val="single" w:sz="8" w:space="0" w:color="73A5D8" w:themeColor="accent6"/>
            </w:tcBorders>
            <w:vAlign w:val="center"/>
          </w:tcPr>
          <w:p w:rsidR="00C55A10" w:rsidRPr="003C0922" w:rsidRDefault="0099786E"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1466</w:t>
            </w:r>
          </w:p>
        </w:tc>
        <w:tc>
          <w:tcPr>
            <w:tcW w:w="757" w:type="dxa"/>
            <w:tcBorders>
              <w:left w:val="single" w:sz="8" w:space="0" w:color="73A5D8" w:themeColor="accent6"/>
              <w:right w:val="single" w:sz="8" w:space="0" w:color="73A5D8" w:themeColor="accent6"/>
            </w:tcBorders>
            <w:vAlign w:val="center"/>
          </w:tcPr>
          <w:p w:rsidR="00C55A10" w:rsidRPr="003C0922" w:rsidRDefault="0099786E"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1099</w:t>
            </w:r>
          </w:p>
        </w:tc>
        <w:tc>
          <w:tcPr>
            <w:tcW w:w="660" w:type="dxa"/>
            <w:tcBorders>
              <w:left w:val="single" w:sz="8" w:space="0" w:color="73A5D8" w:themeColor="accent6"/>
              <w:righ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173</w:t>
            </w:r>
          </w:p>
        </w:tc>
        <w:tc>
          <w:tcPr>
            <w:tcW w:w="709" w:type="dxa"/>
            <w:tcBorders>
              <w:left w:val="single" w:sz="8" w:space="0" w:color="73A5D8" w:themeColor="accent6"/>
              <w:righ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194</w:t>
            </w:r>
          </w:p>
        </w:tc>
        <w:tc>
          <w:tcPr>
            <w:tcW w:w="708" w:type="dxa"/>
            <w:tcBorders>
              <w:left w:val="single" w:sz="8" w:space="0" w:color="73A5D8" w:themeColor="accent6"/>
              <w:righ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124</w:t>
            </w:r>
          </w:p>
        </w:tc>
        <w:tc>
          <w:tcPr>
            <w:tcW w:w="709" w:type="dxa"/>
            <w:tcBorders>
              <w:lef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187</w:t>
            </w:r>
          </w:p>
        </w:tc>
        <w:tc>
          <w:tcPr>
            <w:tcW w:w="709" w:type="dxa"/>
            <w:tcBorders>
              <w:lef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161</w:t>
            </w:r>
          </w:p>
        </w:tc>
        <w:tc>
          <w:tcPr>
            <w:tcW w:w="709" w:type="dxa"/>
            <w:tcBorders>
              <w:lef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150</w:t>
            </w:r>
          </w:p>
        </w:tc>
        <w:tc>
          <w:tcPr>
            <w:tcW w:w="708" w:type="dxa"/>
            <w:tcBorders>
              <w:lef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147</w:t>
            </w:r>
          </w:p>
        </w:tc>
        <w:tc>
          <w:tcPr>
            <w:tcW w:w="709" w:type="dxa"/>
            <w:tcBorders>
              <w:lef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194</w:t>
            </w:r>
          </w:p>
        </w:tc>
        <w:tc>
          <w:tcPr>
            <w:tcW w:w="709" w:type="dxa"/>
            <w:tcBorders>
              <w:left w:val="single" w:sz="8" w:space="0" w:color="73A5D8" w:themeColor="accent6"/>
            </w:tcBorders>
            <w:vAlign w:val="center"/>
          </w:tcPr>
          <w:p w:rsidR="00C55A10" w:rsidRPr="003C0922" w:rsidRDefault="00877884" w:rsidP="0099786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136</w:t>
            </w:r>
          </w:p>
        </w:tc>
      </w:tr>
    </w:tbl>
    <w:p w:rsidR="00C55A10" w:rsidRDefault="00C55A10" w:rsidP="00C55A10">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BB33F3" w:rsidRDefault="00BB33F3" w:rsidP="00D135B0">
      <w:pPr>
        <w:pStyle w:val="BodyText"/>
      </w:pPr>
    </w:p>
    <w:p w:rsidR="00A47B10" w:rsidRDefault="00A16633" w:rsidP="00D135B0">
      <w:pPr>
        <w:pStyle w:val="BodyText"/>
      </w:pPr>
      <w:r>
        <w:lastRenderedPageBreak/>
        <w:t>By sector, the availability of appropriately skilled staff is significantly more likely than average to be an issue in manufacturing (30%) and construction (26%).  Nearly half of construction employers cite poor cash flow (46%) and/or lack of capital fo</w:t>
      </w:r>
      <w:r w:rsidR="00855A79">
        <w:t>r investment (44%) as obstacles, while a significantly higher proportion of these employers than average mention a poor local supply chain (17%).</w:t>
      </w:r>
    </w:p>
    <w:p w:rsidR="00A47B10" w:rsidRDefault="00A47B10" w:rsidP="00A47B10">
      <w:pPr>
        <w:pStyle w:val="Caption"/>
      </w:pPr>
      <w:r>
        <w:t>Table 5.1</w:t>
      </w:r>
      <w:r w:rsidR="00E81081">
        <w:t>6</w:t>
      </w:r>
      <w:r>
        <w:t>: Obstacles to business growth – prompted, multiple response, by sector (all private sector employers)</w:t>
      </w:r>
    </w:p>
    <w:tbl>
      <w:tblPr>
        <w:tblStyle w:val="LightList-Accent6"/>
        <w:tblW w:w="10081" w:type="dxa"/>
        <w:tblInd w:w="-318" w:type="dxa"/>
        <w:tblLook w:val="04A0" w:firstRow="1" w:lastRow="0" w:firstColumn="1" w:lastColumn="0" w:noHBand="0" w:noVBand="1"/>
      </w:tblPr>
      <w:tblGrid>
        <w:gridCol w:w="2694"/>
        <w:gridCol w:w="1009"/>
        <w:gridCol w:w="757"/>
        <w:gridCol w:w="660"/>
        <w:gridCol w:w="709"/>
        <w:gridCol w:w="708"/>
        <w:gridCol w:w="709"/>
        <w:gridCol w:w="709"/>
        <w:gridCol w:w="709"/>
        <w:gridCol w:w="708"/>
        <w:gridCol w:w="709"/>
      </w:tblGrid>
      <w:tr w:rsidR="007C140E" w:rsidRPr="003C0922" w:rsidTr="007C140E">
        <w:trPr>
          <w:cnfStyle w:val="100000000000" w:firstRow="1" w:lastRow="0" w:firstColumn="0" w:lastColumn="0" w:oddVBand="0" w:evenVBand="0" w:oddHBand="0" w:evenHBand="0" w:firstRowFirstColumn="0" w:firstRowLastColumn="0" w:lastRowFirstColumn="0" w:lastRowLastColumn="0"/>
          <w:cantSplit/>
          <w:trHeight w:val="2196"/>
        </w:trPr>
        <w:tc>
          <w:tcPr>
            <w:cnfStyle w:val="001000000000" w:firstRow="0" w:lastRow="0" w:firstColumn="1" w:lastColumn="0" w:oddVBand="0" w:evenVBand="0" w:oddHBand="0" w:evenHBand="0" w:firstRowFirstColumn="0" w:firstRowLastColumn="0" w:lastRowFirstColumn="0" w:lastRowLastColumn="0"/>
            <w:tcW w:w="2694" w:type="dxa"/>
            <w:vAlign w:val="bottom"/>
          </w:tcPr>
          <w:p w:rsidR="007C140E" w:rsidRPr="003C0922" w:rsidRDefault="007C140E" w:rsidP="00A47B10">
            <w:pPr>
              <w:spacing w:before="60" w:after="60"/>
              <w:rPr>
                <w:rFonts w:cstheme="minorHAnsi"/>
                <w:b w:val="0"/>
                <w:sz w:val="20"/>
              </w:rPr>
            </w:pPr>
            <w:r>
              <w:rPr>
                <w:rFonts w:cstheme="minorHAnsi"/>
                <w:b w:val="0"/>
                <w:sz w:val="20"/>
              </w:rPr>
              <w:t>Column percentages</w:t>
            </w:r>
          </w:p>
        </w:tc>
        <w:tc>
          <w:tcPr>
            <w:tcW w:w="1009" w:type="dxa"/>
            <w:textDirection w:val="tbRl"/>
            <w:vAlign w:val="center"/>
          </w:tcPr>
          <w:p w:rsidR="007C140E" w:rsidRPr="0082125A" w:rsidRDefault="007C140E" w:rsidP="00A47B10">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2125A">
              <w:rPr>
                <w:rFonts w:cstheme="minorHAnsi"/>
              </w:rPr>
              <w:t>Greater Lincolnshire</w:t>
            </w:r>
          </w:p>
        </w:tc>
        <w:tc>
          <w:tcPr>
            <w:tcW w:w="7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66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70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70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55786D"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Poor transport infrastructure</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30</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21</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14</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31</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23</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25</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31</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34</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29</w:t>
            </w:r>
          </w:p>
        </w:tc>
        <w:tc>
          <w:tcPr>
            <w:tcW w:w="709" w:type="dxa"/>
            <w:tcBorders>
              <w:left w:val="single" w:sz="8" w:space="0" w:color="73A5D8" w:themeColor="accent6"/>
            </w:tcBorders>
            <w:vAlign w:val="center"/>
          </w:tcPr>
          <w:p w:rsidR="0055786D" w:rsidRPr="004B5B7B"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B5B7B">
              <w:rPr>
                <w:rFonts w:cstheme="minorHAnsi"/>
                <w:b/>
                <w:color w:val="000000"/>
              </w:rPr>
              <w:t>36</w:t>
            </w:r>
          </w:p>
        </w:tc>
      </w:tr>
      <w:tr w:rsidR="0055786D"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Lack of capital for investment</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25</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24</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25</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29</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B5B7B">
              <w:rPr>
                <w:rFonts w:cstheme="minorHAnsi"/>
                <w:b/>
                <w:color w:val="000000"/>
              </w:rPr>
              <w:t>44</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B5B7B">
              <w:rPr>
                <w:rFonts w:cstheme="minorHAnsi"/>
                <w:i/>
                <w:color w:val="000000"/>
              </w:rPr>
              <w:t>19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26</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27</w:t>
            </w:r>
          </w:p>
        </w:tc>
      </w:tr>
      <w:tr w:rsidR="0055786D"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Poor cash flow</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24</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19</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24</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24</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29</w:t>
            </w:r>
          </w:p>
        </w:tc>
        <w:tc>
          <w:tcPr>
            <w:tcW w:w="709"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B5B7B">
              <w:rPr>
                <w:rFonts w:cstheme="minorHAnsi"/>
                <w:b/>
                <w:color w:val="000000"/>
              </w:rPr>
              <w:t>46</w:t>
            </w:r>
          </w:p>
        </w:tc>
        <w:tc>
          <w:tcPr>
            <w:tcW w:w="709"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4B5B7B">
              <w:rPr>
                <w:rFonts w:cstheme="minorHAnsi"/>
                <w:i/>
                <w:color w:val="000000"/>
              </w:rPr>
              <w:t>18</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32</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29</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23</w:t>
            </w:r>
          </w:p>
        </w:tc>
      </w:tr>
      <w:tr w:rsidR="0055786D"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Availability of appropriately skilled staff</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19</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13</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17</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23</w:t>
            </w:r>
          </w:p>
        </w:tc>
        <w:tc>
          <w:tcPr>
            <w:tcW w:w="708"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B5B7B">
              <w:rPr>
                <w:rFonts w:cstheme="minorHAnsi"/>
                <w:b/>
                <w:color w:val="000000"/>
              </w:rPr>
              <w:t>30</w:t>
            </w:r>
          </w:p>
        </w:tc>
        <w:tc>
          <w:tcPr>
            <w:tcW w:w="709" w:type="dxa"/>
            <w:tcBorders>
              <w:lef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B5B7B">
              <w:rPr>
                <w:rFonts w:cstheme="minorHAnsi"/>
                <w:b/>
                <w:color w:val="000000"/>
              </w:rPr>
              <w:t>26</w:t>
            </w:r>
          </w:p>
        </w:tc>
        <w:tc>
          <w:tcPr>
            <w:tcW w:w="709" w:type="dxa"/>
            <w:tcBorders>
              <w:lef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B5B7B">
              <w:rPr>
                <w:rFonts w:cstheme="minorHAnsi"/>
                <w:i/>
                <w:color w:val="000000"/>
              </w:rPr>
              <w:t>13</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23</w:t>
            </w:r>
          </w:p>
        </w:tc>
        <w:tc>
          <w:tcPr>
            <w:tcW w:w="708" w:type="dxa"/>
            <w:tcBorders>
              <w:lef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19</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21</w:t>
            </w:r>
          </w:p>
        </w:tc>
      </w:tr>
      <w:tr w:rsidR="0055786D"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Poor IT infrastructure</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19</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26</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B5B7B">
              <w:rPr>
                <w:rFonts w:cstheme="minorHAnsi"/>
                <w:b/>
                <w:color w:val="000000"/>
              </w:rPr>
              <w:t>24</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24</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16</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17</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21</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12</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14</w:t>
            </w:r>
          </w:p>
        </w:tc>
      </w:tr>
      <w:tr w:rsidR="0055786D"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The way the local planning and development control system operates</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19</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23</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25</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15</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12</w:t>
            </w:r>
          </w:p>
        </w:tc>
        <w:tc>
          <w:tcPr>
            <w:tcW w:w="709"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B5B7B">
              <w:rPr>
                <w:rFonts w:cstheme="minorHAnsi"/>
                <w:b/>
                <w:color w:val="000000"/>
              </w:rPr>
              <w:t>26</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21</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14</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22</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16</w:t>
            </w:r>
          </w:p>
        </w:tc>
      </w:tr>
      <w:tr w:rsidR="0055786D"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Poor county profile i.e. in terms of attracting staff from outside the county</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16</w:t>
            </w:r>
          </w:p>
        </w:tc>
        <w:tc>
          <w:tcPr>
            <w:tcW w:w="757"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4B5B7B">
              <w:rPr>
                <w:rFonts w:cstheme="minorHAnsi"/>
                <w:i/>
                <w:color w:val="000000"/>
              </w:rPr>
              <w:t>5</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5</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19</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20</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15</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16</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12</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10</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19</w:t>
            </w:r>
          </w:p>
        </w:tc>
      </w:tr>
      <w:tr w:rsidR="0055786D"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Lack of available premises/land</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14</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20</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11</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10</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19</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18</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16</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17</w:t>
            </w:r>
          </w:p>
        </w:tc>
      </w:tr>
      <w:tr w:rsidR="0055786D"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Availability of appropriate local skills training</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10</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14</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14</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16</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10</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16</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13</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14</w:t>
            </w:r>
          </w:p>
        </w:tc>
      </w:tr>
      <w:tr w:rsidR="0055786D"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Lack of business support services</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13</w:t>
            </w:r>
          </w:p>
        </w:tc>
        <w:tc>
          <w:tcPr>
            <w:tcW w:w="7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6</w:t>
            </w:r>
          </w:p>
        </w:tc>
        <w:tc>
          <w:tcPr>
            <w:tcW w:w="66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27</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11</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18</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12</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17</w:t>
            </w:r>
          </w:p>
        </w:tc>
        <w:tc>
          <w:tcPr>
            <w:tcW w:w="70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13</w:t>
            </w:r>
          </w:p>
        </w:tc>
        <w:tc>
          <w:tcPr>
            <w:tcW w:w="70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16</w:t>
            </w:r>
          </w:p>
        </w:tc>
      </w:tr>
      <w:tr w:rsidR="0055786D"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Poor sector profile</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13</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13</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13</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15</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13</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12</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left w:val="single" w:sz="8" w:space="0" w:color="73A5D8" w:themeColor="accent6"/>
            </w:tcBorders>
            <w:vAlign w:val="center"/>
          </w:tcPr>
          <w:p w:rsidR="0055786D" w:rsidRPr="004B5B7B" w:rsidRDefault="0055786D"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B5B7B">
              <w:rPr>
                <w:rFonts w:cstheme="minorHAnsi"/>
                <w:b/>
                <w:color w:val="000000"/>
              </w:rPr>
              <w:t>19</w:t>
            </w:r>
          </w:p>
        </w:tc>
      </w:tr>
      <w:tr w:rsidR="0055786D"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55786D" w:rsidRPr="00877884" w:rsidRDefault="0055786D" w:rsidP="00B534E4">
            <w:pPr>
              <w:spacing w:before="60" w:after="60"/>
              <w:rPr>
                <w:rFonts w:cstheme="minorHAnsi"/>
                <w:b w:val="0"/>
                <w:color w:val="000000"/>
                <w:sz w:val="20"/>
              </w:rPr>
            </w:pPr>
            <w:r w:rsidRPr="00877884">
              <w:rPr>
                <w:rFonts w:cstheme="minorHAnsi"/>
                <w:b w:val="0"/>
                <w:color w:val="000000"/>
                <w:sz w:val="20"/>
              </w:rPr>
              <w:t>Poor local supply chain</w:t>
            </w:r>
          </w:p>
        </w:tc>
        <w:tc>
          <w:tcPr>
            <w:tcW w:w="1009" w:type="dxa"/>
            <w:tcBorders>
              <w:right w:val="single" w:sz="8" w:space="0" w:color="73A5D8" w:themeColor="accent6"/>
            </w:tcBorders>
            <w:vAlign w:val="center"/>
          </w:tcPr>
          <w:p w:rsidR="0055786D" w:rsidRPr="0087788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10</w:t>
            </w:r>
          </w:p>
        </w:tc>
        <w:tc>
          <w:tcPr>
            <w:tcW w:w="757"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5</w:t>
            </w:r>
          </w:p>
        </w:tc>
        <w:tc>
          <w:tcPr>
            <w:tcW w:w="660"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16</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8</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14</w:t>
            </w:r>
          </w:p>
        </w:tc>
        <w:tc>
          <w:tcPr>
            <w:tcW w:w="709"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B5B7B">
              <w:rPr>
                <w:rFonts w:cstheme="minorHAnsi"/>
                <w:b/>
                <w:color w:val="000000"/>
              </w:rPr>
              <w:t>17</w:t>
            </w:r>
          </w:p>
        </w:tc>
        <w:tc>
          <w:tcPr>
            <w:tcW w:w="709" w:type="dxa"/>
            <w:tcBorders>
              <w:left w:val="single" w:sz="8" w:space="0" w:color="73A5D8" w:themeColor="accent6"/>
              <w:right w:val="single" w:sz="8" w:space="0" w:color="73A5D8" w:themeColor="accent6"/>
            </w:tcBorders>
            <w:vAlign w:val="center"/>
          </w:tcPr>
          <w:p w:rsidR="0055786D" w:rsidRPr="004B5B7B"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B5B7B">
              <w:rPr>
                <w:rFonts w:cstheme="minorHAnsi"/>
                <w:i/>
                <w:color w:val="000000"/>
              </w:rPr>
              <w:t>7</w:t>
            </w:r>
          </w:p>
        </w:tc>
        <w:tc>
          <w:tcPr>
            <w:tcW w:w="709"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13</w:t>
            </w:r>
          </w:p>
        </w:tc>
        <w:tc>
          <w:tcPr>
            <w:tcW w:w="708" w:type="dxa"/>
            <w:tcBorders>
              <w:left w:val="single" w:sz="8" w:space="0" w:color="73A5D8" w:themeColor="accent6"/>
              <w:righ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10</w:t>
            </w:r>
          </w:p>
        </w:tc>
        <w:tc>
          <w:tcPr>
            <w:tcW w:w="709" w:type="dxa"/>
            <w:tcBorders>
              <w:left w:val="single" w:sz="8" w:space="0" w:color="73A5D8" w:themeColor="accent6"/>
            </w:tcBorders>
            <w:vAlign w:val="center"/>
          </w:tcPr>
          <w:p w:rsidR="0055786D" w:rsidRPr="00B534E4" w:rsidRDefault="0055786D"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13</w:t>
            </w:r>
          </w:p>
        </w:tc>
      </w:tr>
      <w:tr w:rsidR="00B534E4" w:rsidTr="0085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534E4" w:rsidRPr="00877884" w:rsidRDefault="00B534E4" w:rsidP="00B534E4">
            <w:pPr>
              <w:spacing w:before="60" w:after="60"/>
              <w:rPr>
                <w:rFonts w:cstheme="minorHAnsi"/>
                <w:b w:val="0"/>
                <w:color w:val="000000"/>
                <w:sz w:val="20"/>
              </w:rPr>
            </w:pPr>
            <w:r w:rsidRPr="00877884">
              <w:rPr>
                <w:rFonts w:cstheme="minorHAnsi"/>
                <w:b w:val="0"/>
                <w:color w:val="000000"/>
                <w:sz w:val="20"/>
              </w:rPr>
              <w:t>Other</w:t>
            </w:r>
          </w:p>
        </w:tc>
        <w:tc>
          <w:tcPr>
            <w:tcW w:w="1009" w:type="dxa"/>
            <w:tcBorders>
              <w:right w:val="single" w:sz="8" w:space="0" w:color="73A5D8" w:themeColor="accent6"/>
            </w:tcBorders>
            <w:vAlign w:val="center"/>
          </w:tcPr>
          <w:p w:rsidR="00B534E4" w:rsidRPr="0087788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77884">
              <w:rPr>
                <w:rFonts w:cstheme="minorHAnsi"/>
                <w:color w:val="000000"/>
              </w:rPr>
              <w:t>10</w:t>
            </w:r>
          </w:p>
        </w:tc>
        <w:tc>
          <w:tcPr>
            <w:tcW w:w="757"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7</w:t>
            </w:r>
          </w:p>
        </w:tc>
        <w:tc>
          <w:tcPr>
            <w:tcW w:w="660"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8"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6</w:t>
            </w:r>
          </w:p>
        </w:tc>
        <w:tc>
          <w:tcPr>
            <w:tcW w:w="709"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9</w:t>
            </w:r>
          </w:p>
        </w:tc>
        <w:tc>
          <w:tcPr>
            <w:tcW w:w="709"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11</w:t>
            </w:r>
          </w:p>
        </w:tc>
        <w:tc>
          <w:tcPr>
            <w:tcW w:w="709"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5</w:t>
            </w:r>
          </w:p>
        </w:tc>
        <w:tc>
          <w:tcPr>
            <w:tcW w:w="708"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34E4">
              <w:rPr>
                <w:rFonts w:cstheme="minorHAnsi"/>
                <w:color w:val="000000"/>
              </w:rPr>
              <w:t>7</w:t>
            </w:r>
          </w:p>
        </w:tc>
        <w:tc>
          <w:tcPr>
            <w:tcW w:w="709" w:type="dxa"/>
            <w:tcBorders>
              <w:left w:val="single" w:sz="8" w:space="0" w:color="73A5D8" w:themeColor="accent6"/>
            </w:tcBorders>
            <w:vAlign w:val="center"/>
          </w:tcPr>
          <w:p w:rsidR="00B534E4" w:rsidRPr="004B5B7B" w:rsidRDefault="00B534E4" w:rsidP="00855A7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B5B7B">
              <w:rPr>
                <w:rFonts w:cstheme="minorHAnsi"/>
                <w:b/>
                <w:color w:val="000000"/>
              </w:rPr>
              <w:t>14</w:t>
            </w:r>
          </w:p>
        </w:tc>
      </w:tr>
      <w:tr w:rsidR="00B534E4" w:rsidTr="00855A79">
        <w:tc>
          <w:tcPr>
            <w:cnfStyle w:val="001000000000" w:firstRow="0" w:lastRow="0" w:firstColumn="1" w:lastColumn="0" w:oddVBand="0" w:evenVBand="0" w:oddHBand="0" w:evenHBand="0" w:firstRowFirstColumn="0" w:firstRowLastColumn="0" w:lastRowFirstColumn="0" w:lastRowLastColumn="0"/>
            <w:tcW w:w="2694" w:type="dxa"/>
            <w:vAlign w:val="center"/>
          </w:tcPr>
          <w:p w:rsidR="00B534E4" w:rsidRPr="00877884" w:rsidRDefault="00B534E4" w:rsidP="00B534E4">
            <w:pPr>
              <w:spacing w:before="60" w:after="60"/>
              <w:rPr>
                <w:rFonts w:cstheme="minorHAnsi"/>
                <w:b w:val="0"/>
                <w:color w:val="000000"/>
              </w:rPr>
            </w:pPr>
            <w:r w:rsidRPr="00877884">
              <w:rPr>
                <w:rFonts w:cstheme="minorHAnsi"/>
                <w:b w:val="0"/>
                <w:color w:val="000000"/>
              </w:rPr>
              <w:t>None</w:t>
            </w:r>
          </w:p>
        </w:tc>
        <w:tc>
          <w:tcPr>
            <w:tcW w:w="1009" w:type="dxa"/>
            <w:tcBorders>
              <w:right w:val="single" w:sz="8" w:space="0" w:color="73A5D8" w:themeColor="accent6"/>
            </w:tcBorders>
            <w:vAlign w:val="center"/>
          </w:tcPr>
          <w:p w:rsidR="00B534E4" w:rsidRPr="0087788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77884">
              <w:rPr>
                <w:rFonts w:cstheme="minorHAnsi"/>
                <w:color w:val="000000"/>
              </w:rPr>
              <w:t>29</w:t>
            </w:r>
          </w:p>
        </w:tc>
        <w:tc>
          <w:tcPr>
            <w:tcW w:w="757"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24</w:t>
            </w:r>
          </w:p>
        </w:tc>
        <w:tc>
          <w:tcPr>
            <w:tcW w:w="660"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23</w:t>
            </w:r>
          </w:p>
        </w:tc>
        <w:tc>
          <w:tcPr>
            <w:tcW w:w="709"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26</w:t>
            </w:r>
          </w:p>
        </w:tc>
        <w:tc>
          <w:tcPr>
            <w:tcW w:w="708" w:type="dxa"/>
            <w:tcBorders>
              <w:left w:val="single" w:sz="8" w:space="0" w:color="73A5D8" w:themeColor="accent6"/>
              <w:righ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33</w:t>
            </w:r>
          </w:p>
        </w:tc>
        <w:tc>
          <w:tcPr>
            <w:tcW w:w="709" w:type="dxa"/>
            <w:tcBorders>
              <w:left w:val="single" w:sz="8" w:space="0" w:color="73A5D8" w:themeColor="accent6"/>
            </w:tcBorders>
            <w:vAlign w:val="center"/>
          </w:tcPr>
          <w:p w:rsidR="00B534E4" w:rsidRPr="004B5B7B"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4B5B7B">
              <w:rPr>
                <w:rFonts w:cstheme="minorHAnsi"/>
                <w:i/>
                <w:color w:val="000000"/>
              </w:rPr>
              <w:t>20</w:t>
            </w:r>
          </w:p>
        </w:tc>
        <w:tc>
          <w:tcPr>
            <w:tcW w:w="709" w:type="dxa"/>
            <w:tcBorders>
              <w:lef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31</w:t>
            </w:r>
          </w:p>
        </w:tc>
        <w:tc>
          <w:tcPr>
            <w:tcW w:w="709" w:type="dxa"/>
            <w:tcBorders>
              <w:lef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27</w:t>
            </w:r>
          </w:p>
        </w:tc>
        <w:tc>
          <w:tcPr>
            <w:tcW w:w="708" w:type="dxa"/>
            <w:tcBorders>
              <w:lef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30</w:t>
            </w:r>
          </w:p>
        </w:tc>
        <w:tc>
          <w:tcPr>
            <w:tcW w:w="709" w:type="dxa"/>
            <w:tcBorders>
              <w:left w:val="single" w:sz="8" w:space="0" w:color="73A5D8" w:themeColor="accent6"/>
            </w:tcBorders>
            <w:vAlign w:val="center"/>
          </w:tcPr>
          <w:p w:rsidR="00B534E4" w:rsidRPr="00B534E4" w:rsidRDefault="00B534E4" w:rsidP="00855A7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534E4">
              <w:rPr>
                <w:rFonts w:cstheme="minorHAnsi"/>
                <w:color w:val="000000"/>
              </w:rPr>
              <w:t>26</w:t>
            </w:r>
          </w:p>
        </w:tc>
      </w:tr>
      <w:tr w:rsidR="00B534E4" w:rsidRPr="003C0922" w:rsidTr="00A4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534E4" w:rsidRPr="003C0922" w:rsidRDefault="00B534E4" w:rsidP="00A47B10">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09" w:type="dxa"/>
            <w:tcBorders>
              <w:righ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1466</w:t>
            </w:r>
          </w:p>
        </w:tc>
        <w:tc>
          <w:tcPr>
            <w:tcW w:w="757" w:type="dxa"/>
            <w:tcBorders>
              <w:left w:val="single" w:sz="8" w:space="0" w:color="73A5D8" w:themeColor="accent6"/>
              <w:righ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75</w:t>
            </w:r>
          </w:p>
        </w:tc>
        <w:tc>
          <w:tcPr>
            <w:tcW w:w="660" w:type="dxa"/>
            <w:tcBorders>
              <w:left w:val="single" w:sz="8" w:space="0" w:color="73A5D8" w:themeColor="accent6"/>
              <w:righ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w:t>
            </w:r>
          </w:p>
        </w:tc>
        <w:tc>
          <w:tcPr>
            <w:tcW w:w="709" w:type="dxa"/>
            <w:tcBorders>
              <w:left w:val="single" w:sz="8" w:space="0" w:color="73A5D8" w:themeColor="accent6"/>
              <w:righ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325</w:t>
            </w:r>
          </w:p>
        </w:tc>
        <w:tc>
          <w:tcPr>
            <w:tcW w:w="708" w:type="dxa"/>
            <w:tcBorders>
              <w:left w:val="single" w:sz="8" w:space="0" w:color="73A5D8" w:themeColor="accent6"/>
              <w:righ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89</w:t>
            </w:r>
          </w:p>
        </w:tc>
        <w:tc>
          <w:tcPr>
            <w:tcW w:w="709" w:type="dxa"/>
            <w:tcBorders>
              <w:lef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133</w:t>
            </w:r>
          </w:p>
        </w:tc>
        <w:tc>
          <w:tcPr>
            <w:tcW w:w="709" w:type="dxa"/>
            <w:tcBorders>
              <w:lef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461</w:t>
            </w:r>
          </w:p>
        </w:tc>
        <w:tc>
          <w:tcPr>
            <w:tcW w:w="709" w:type="dxa"/>
            <w:tcBorders>
              <w:lef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95</w:t>
            </w:r>
          </w:p>
        </w:tc>
        <w:tc>
          <w:tcPr>
            <w:tcW w:w="708" w:type="dxa"/>
            <w:tcBorders>
              <w:lef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88</w:t>
            </w:r>
          </w:p>
        </w:tc>
        <w:tc>
          <w:tcPr>
            <w:tcW w:w="709" w:type="dxa"/>
            <w:tcBorders>
              <w:left w:val="single" w:sz="8" w:space="0" w:color="73A5D8" w:themeColor="accent6"/>
            </w:tcBorders>
            <w:vAlign w:val="center"/>
          </w:tcPr>
          <w:p w:rsidR="00B534E4" w:rsidRPr="003C0922" w:rsidRDefault="00B534E4" w:rsidP="00A47B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182</w:t>
            </w:r>
          </w:p>
        </w:tc>
      </w:tr>
    </w:tbl>
    <w:p w:rsidR="00A47B10" w:rsidRDefault="00A47B10" w:rsidP="00A47B10">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270C14" w:rsidRDefault="00270C14">
      <w:pPr>
        <w:spacing w:after="360"/>
        <w:rPr>
          <w:rFonts w:ascii="Arial" w:hAnsi="Arial"/>
        </w:rPr>
      </w:pPr>
      <w:r>
        <w:br w:type="page"/>
      </w:r>
    </w:p>
    <w:p w:rsidR="00A47B10" w:rsidRDefault="008C2011" w:rsidP="00D135B0">
      <w:pPr>
        <w:pStyle w:val="BodyText"/>
      </w:pPr>
      <w:r>
        <w:lastRenderedPageBreak/>
        <w:t xml:space="preserve">When asked to select what they consider to be their main obstacle to business growth (from those that they have already mentioned), poor transport infrastructure was most frequently mentioned (12%), with poor cash flow (11%) in second place.  What is most interesting about focusing on the </w:t>
      </w:r>
      <w:r w:rsidR="00E81081">
        <w:t xml:space="preserve">greatest obstacle is that no one issue stands out overall.  Many issues are each mentioned by between one in eight and one in twenty </w:t>
      </w:r>
      <w:r w:rsidR="00E3671E">
        <w:t>employers</w:t>
      </w:r>
      <w:r w:rsidR="00E81081">
        <w:t>.</w:t>
      </w:r>
    </w:p>
    <w:p w:rsidR="00E81081" w:rsidRDefault="00E81081" w:rsidP="00E81081">
      <w:pPr>
        <w:pStyle w:val="Caption"/>
      </w:pPr>
      <w:r>
        <w:t xml:space="preserve">Figure 5.17:  Greatest obstacle to business growth – prompted, single response (all private sector employers) </w:t>
      </w:r>
    </w:p>
    <w:p w:rsidR="00E81081" w:rsidRDefault="007F1822" w:rsidP="00E81081">
      <w:pPr>
        <w:pStyle w:val="Caption"/>
      </w:pPr>
      <w:r w:rsidRPr="007F1822">
        <w:rPr>
          <w:noProof/>
          <w:lang w:eastAsia="en-GB"/>
        </w:rPr>
        <w:drawing>
          <wp:inline distT="0" distB="0" distL="0" distR="0">
            <wp:extent cx="6086475" cy="541972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1081" w:rsidRDefault="00E81081" w:rsidP="00E81081">
      <w:pPr>
        <w:pStyle w:val="BodyText"/>
        <w:rPr>
          <w:rFonts w:cs="Arial"/>
          <w:sz w:val="18"/>
        </w:rPr>
      </w:pPr>
      <w:r>
        <w:rPr>
          <w:rFonts w:cs="Arial"/>
          <w:sz w:val="18"/>
        </w:rPr>
        <w:t>Unweighted sample base = 1466</w:t>
      </w:r>
    </w:p>
    <w:p w:rsidR="00E81081" w:rsidRDefault="00E81081" w:rsidP="00E81081">
      <w:pPr>
        <w:pStyle w:val="BodyText"/>
      </w:pPr>
      <w:r>
        <w:rPr>
          <w:rFonts w:cs="Arial"/>
          <w:sz w:val="18"/>
        </w:rPr>
        <w:t>QE5.  Which one of these would you say is the greatest obstacle?</w:t>
      </w:r>
    </w:p>
    <w:p w:rsidR="00E81081" w:rsidRDefault="00261832" w:rsidP="00D135B0">
      <w:pPr>
        <w:pStyle w:val="BodyText"/>
      </w:pPr>
      <w:r>
        <w:t xml:space="preserve">The proportion of employers citing poor transport infrastructure as their greatest obstacle increases to 21% of </w:t>
      </w:r>
      <w:r w:rsidR="00E3671E">
        <w:t>employers</w:t>
      </w:r>
      <w:r>
        <w:t xml:space="preserve"> in East Lindsey.</w:t>
      </w:r>
    </w:p>
    <w:p w:rsidR="00261832" w:rsidRDefault="00261832" w:rsidP="00D135B0">
      <w:pPr>
        <w:pStyle w:val="BodyText"/>
      </w:pPr>
    </w:p>
    <w:p w:rsidR="00540054" w:rsidRDefault="00D135B0" w:rsidP="001503EB">
      <w:pPr>
        <w:pStyle w:val="Heading1"/>
      </w:pPr>
      <w:bookmarkStart w:id="50" w:name="_Toc394057541"/>
      <w:r>
        <w:lastRenderedPageBreak/>
        <w:t>Finance and Investment</w:t>
      </w:r>
      <w:bookmarkEnd w:id="50"/>
    </w:p>
    <w:p w:rsidR="00651896" w:rsidRDefault="00651896" w:rsidP="00651896"/>
    <w:p w:rsidR="00D135B0" w:rsidRDefault="00D135B0" w:rsidP="00D135B0">
      <w:pPr>
        <w:pStyle w:val="Heading2"/>
      </w:pPr>
      <w:bookmarkStart w:id="51" w:name="_Toc394057542"/>
      <w:r>
        <w:t>Key findings</w:t>
      </w:r>
      <w:bookmarkEnd w:id="51"/>
    </w:p>
    <w:p w:rsidR="003B78A0" w:rsidRDefault="003B78A0" w:rsidP="003B78A0">
      <w:pPr>
        <w:pStyle w:val="BodyText"/>
      </w:pPr>
      <w:r>
        <w:t>One in six private sector employers (16%) reports having sought finance in the last 12 months.  This proportion increases to 33% of 100+ employers.</w:t>
      </w:r>
    </w:p>
    <w:p w:rsidR="003B78A0" w:rsidRDefault="003B78A0" w:rsidP="003B78A0">
      <w:pPr>
        <w:pStyle w:val="BodyText"/>
      </w:pPr>
      <w:r>
        <w:t>Bank loans were the most commonly sought type of finance (40% of those that have sought finance), followed by a bank overdraft (21%) and/or grant (18%).</w:t>
      </w:r>
    </w:p>
    <w:p w:rsidR="003B78A0" w:rsidRDefault="003B78A0" w:rsidP="003B78A0">
      <w:pPr>
        <w:pStyle w:val="BodyText"/>
      </w:pPr>
      <w:r>
        <w:t xml:space="preserve">The most common reason for seeking finance was for business expansion or growth (36% of those that sought finance).  More than a quarter of employers seeking finance (26%) did so to obtain working capital or improve their cash flow, while fewer (17%) sought finance for capital equipment or vehicles.  </w:t>
      </w:r>
    </w:p>
    <w:p w:rsidR="003B78A0" w:rsidRDefault="003B78A0" w:rsidP="003B78A0">
      <w:pPr>
        <w:pStyle w:val="BodyText"/>
      </w:pPr>
      <w:r>
        <w:t xml:space="preserve">A third of employers that sought finance (33%) experienced some difficulty in arranging it and these difficulties experienced were chiefly due to not meeting the criteria laid down by the prospective lender/financer (27%) and/or finance being unavailable (21%).  </w:t>
      </w:r>
    </w:p>
    <w:p w:rsidR="003B78A0" w:rsidRDefault="003B78A0" w:rsidP="003B78A0">
      <w:pPr>
        <w:pStyle w:val="BodyText"/>
      </w:pPr>
      <w:r>
        <w:t xml:space="preserve">More than four in five private sector employers (84%) expect to invest in the business in the next 2 years.  </w:t>
      </w:r>
    </w:p>
    <w:p w:rsidR="003B78A0" w:rsidRDefault="003B78A0" w:rsidP="003B78A0">
      <w:pPr>
        <w:pStyle w:val="BodyText"/>
      </w:pPr>
      <w:r>
        <w:t>Employers are most likely to expect to invest in training (61%), while half expect to invest in new technologies (50%), plant/machinery/equipment (49%) and/or new products (47%).  A quarter expects to invest in research and development (25%) or expanding or moving premises (24%).</w:t>
      </w:r>
    </w:p>
    <w:p w:rsidR="00D135B0" w:rsidRDefault="00D135B0" w:rsidP="00D135B0">
      <w:pPr>
        <w:pStyle w:val="Heading2"/>
      </w:pPr>
      <w:bookmarkStart w:id="52" w:name="_Toc394057543"/>
      <w:r>
        <w:t>Finance recently sought</w:t>
      </w:r>
      <w:bookmarkEnd w:id="52"/>
    </w:p>
    <w:p w:rsidR="00AF2C5A" w:rsidRDefault="0081774E" w:rsidP="00D135B0">
      <w:pPr>
        <w:pStyle w:val="BodyText"/>
      </w:pPr>
      <w:r>
        <w:t>One in six private sector employers (16%) report</w:t>
      </w:r>
      <w:r w:rsidR="003B78A0">
        <w:t>s</w:t>
      </w:r>
      <w:r>
        <w:t xml:space="preserve"> having sought finance in the last 12 months.  This proportion increases to 33% of 100+ employers.</w:t>
      </w:r>
    </w:p>
    <w:p w:rsidR="0081774E" w:rsidRDefault="0081774E" w:rsidP="00D135B0">
      <w:pPr>
        <w:pStyle w:val="BodyText"/>
      </w:pPr>
      <w:r>
        <w:t>The proportion is significantly higher amongst exporters (22%) than non-exporters (15%); innovating businesses (20%) than non-innovating businesses (13%); those with a website (18%), compared with those without (11%) and those that have recently experienced an increase in the size of their workforce (22%), compared with those that have not experienced any change (14%).</w:t>
      </w:r>
    </w:p>
    <w:p w:rsidR="0081774E" w:rsidRDefault="00740570" w:rsidP="00D135B0">
      <w:pPr>
        <w:pStyle w:val="BodyText"/>
      </w:pPr>
      <w:r>
        <w:t>By sector, a significantly higher proportion than average of employers in agriculture/fishing (30%) and other services (25%) have sought finance, while the proportion is significantly below average in distribution/hotels/restaurants</w:t>
      </w:r>
      <w:r w:rsidR="00762742">
        <w:t xml:space="preserve"> (8%)</w:t>
      </w:r>
      <w:r>
        <w:t>.</w:t>
      </w:r>
    </w:p>
    <w:p w:rsidR="00762742" w:rsidRDefault="00282F06" w:rsidP="00D135B0">
      <w:pPr>
        <w:pStyle w:val="BodyText"/>
      </w:pPr>
      <w:r>
        <w:t>Bank loans were the most commonly sought type of finance (40% of those that have sought finance), followed by a bank overdraft (21%) and/or grant (18%).</w:t>
      </w:r>
    </w:p>
    <w:p w:rsidR="00E80170" w:rsidRDefault="00753132" w:rsidP="00D135B0">
      <w:pPr>
        <w:pStyle w:val="BodyText"/>
      </w:pPr>
      <w:r>
        <w:t xml:space="preserve">While smaller businesses are more likely to opt for the short term, flexible option of a bank overdraft (24% of 2-9 employers and 19% of 10-24 employers, compared with 7% of 25+ employers), longer term leasing or hire purchase becomes more significant than average amongst employers with at least 25 staff at their site (18%, compared with 7% on average) and the same is true of internal finance (14%, compared with 3%).  </w:t>
      </w:r>
    </w:p>
    <w:p w:rsidR="00753132" w:rsidRDefault="00753132" w:rsidP="00D135B0">
      <w:pPr>
        <w:pStyle w:val="BodyText"/>
      </w:pPr>
    </w:p>
    <w:p w:rsidR="004F0FAE" w:rsidRDefault="004F0FAE" w:rsidP="004F0FAE">
      <w:pPr>
        <w:pStyle w:val="Caption"/>
      </w:pPr>
      <w:r>
        <w:lastRenderedPageBreak/>
        <w:t xml:space="preserve">Figure 6.1:  Types of finance sought (where sought finance in the last 12 months) </w:t>
      </w:r>
    </w:p>
    <w:p w:rsidR="004F0FAE" w:rsidRDefault="004F0FAE" w:rsidP="004F0FAE">
      <w:pPr>
        <w:pStyle w:val="Caption"/>
      </w:pPr>
      <w:r w:rsidRPr="004F0FAE">
        <w:rPr>
          <w:noProof/>
          <w:lang w:eastAsia="en-GB"/>
        </w:rPr>
        <w:drawing>
          <wp:inline distT="0" distB="0" distL="0" distR="0">
            <wp:extent cx="5867400" cy="5915025"/>
            <wp:effectExtent l="0" t="0" r="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0FAE" w:rsidRDefault="004F0FAE" w:rsidP="004F0FAE">
      <w:pPr>
        <w:pStyle w:val="BodyText"/>
        <w:rPr>
          <w:rFonts w:cs="Arial"/>
          <w:sz w:val="18"/>
        </w:rPr>
      </w:pPr>
      <w:r>
        <w:rPr>
          <w:rFonts w:cs="Arial"/>
          <w:sz w:val="18"/>
        </w:rPr>
        <w:t>Unweighted sample base = 239</w:t>
      </w:r>
      <w:r w:rsidR="00E80170">
        <w:rPr>
          <w:rFonts w:cs="Arial"/>
          <w:sz w:val="18"/>
        </w:rPr>
        <w:t xml:space="preserve">           * denotes less than 0.5%</w:t>
      </w:r>
    </w:p>
    <w:p w:rsidR="004F0FAE" w:rsidRDefault="004F0FAE" w:rsidP="004F0FAE">
      <w:pPr>
        <w:pStyle w:val="BodyText"/>
      </w:pPr>
      <w:r>
        <w:rPr>
          <w:rFonts w:cs="Arial"/>
          <w:sz w:val="18"/>
        </w:rPr>
        <w:t>QE15.  What type of finance did you seek?</w:t>
      </w:r>
    </w:p>
    <w:p w:rsidR="000A6429" w:rsidRDefault="00E74FD8" w:rsidP="00D135B0">
      <w:pPr>
        <w:pStyle w:val="BodyText"/>
      </w:pPr>
      <w:r>
        <w:t>The amount of funding required varied widely as one might expect</w:t>
      </w:r>
      <w:r w:rsidR="000A6429">
        <w:t>; mainly by business size</w:t>
      </w:r>
      <w:r>
        <w:t>.  One in five employers (20%) that sought finance and provided a response were aiming for less than £10,000; a further 45% were aiming for between £10,000 and £50,000; 17% for between £50,000 and £100,000; 26% for between £100,000 and £500,000 and 13% for over half a million pounds.</w:t>
      </w:r>
      <w:r w:rsidR="000A6429">
        <w:t xml:space="preserve">   The majority of businesses with between 2 and 9 employees at the site (82%) were seeking up to £50,000, compared with just 28% of 10+ employers.</w:t>
      </w:r>
    </w:p>
    <w:p w:rsidR="0074116F" w:rsidRDefault="0074116F" w:rsidP="00D135B0">
      <w:pPr>
        <w:pStyle w:val="BodyText"/>
      </w:pPr>
      <w:r>
        <w:t>The most common reason for seeking finance was for business expansion or growth (36% of those that sought finance).  More than a quarter of employers seeking finance (26%) did so to obtain working cap</w:t>
      </w:r>
      <w:r w:rsidR="00EB2EB9">
        <w:t xml:space="preserve">ital or improve their cash flow, while fewer (17%) sought finance for capital equipment or vehicles.  </w:t>
      </w:r>
    </w:p>
    <w:p w:rsidR="00572F56" w:rsidRDefault="00572F56" w:rsidP="00572F56">
      <w:pPr>
        <w:pStyle w:val="Caption"/>
      </w:pPr>
      <w:r>
        <w:lastRenderedPageBreak/>
        <w:t xml:space="preserve">Figure 6.2:  Reasons for seeking finance – unprompted, multiple response (where sought finance in the last 12 months) </w:t>
      </w:r>
    </w:p>
    <w:p w:rsidR="00572F56" w:rsidRDefault="00572F56" w:rsidP="00572F56">
      <w:pPr>
        <w:pStyle w:val="Caption"/>
      </w:pPr>
      <w:r w:rsidRPr="00572F56">
        <w:rPr>
          <w:noProof/>
          <w:lang w:eastAsia="en-GB"/>
        </w:rPr>
        <w:drawing>
          <wp:inline distT="0" distB="0" distL="0" distR="0">
            <wp:extent cx="5895975" cy="4619625"/>
            <wp:effectExtent l="0" t="0" r="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2F56" w:rsidRDefault="00572F56" w:rsidP="00572F56">
      <w:pPr>
        <w:pStyle w:val="BodyText"/>
        <w:rPr>
          <w:rFonts w:cs="Arial"/>
          <w:sz w:val="18"/>
        </w:rPr>
      </w:pPr>
      <w:r>
        <w:rPr>
          <w:rFonts w:cs="Arial"/>
          <w:sz w:val="18"/>
        </w:rPr>
        <w:t>Unweighted sample base = 239           * denotes less than 0.5%</w:t>
      </w:r>
    </w:p>
    <w:p w:rsidR="00572F56" w:rsidRDefault="00572F56" w:rsidP="00572F56">
      <w:pPr>
        <w:pStyle w:val="BodyText"/>
        <w:rPr>
          <w:rFonts w:cs="Arial"/>
          <w:sz w:val="18"/>
        </w:rPr>
      </w:pPr>
      <w:r>
        <w:rPr>
          <w:rFonts w:cs="Arial"/>
          <w:sz w:val="18"/>
        </w:rPr>
        <w:t>QE17.  Why did you apply for finance?</w:t>
      </w:r>
    </w:p>
    <w:p w:rsidR="00B71B03" w:rsidRDefault="00B71B03" w:rsidP="00572F56">
      <w:pPr>
        <w:pStyle w:val="BodyText"/>
      </w:pPr>
    </w:p>
    <w:p w:rsidR="00D135B0" w:rsidRDefault="00D135B0" w:rsidP="00D135B0">
      <w:pPr>
        <w:pStyle w:val="Heading3"/>
      </w:pPr>
      <w:bookmarkStart w:id="53" w:name="_Toc394057544"/>
      <w:r>
        <w:t>Difficulties in obtaining finance</w:t>
      </w:r>
      <w:bookmarkEnd w:id="53"/>
    </w:p>
    <w:p w:rsidR="00FE5F61" w:rsidRDefault="00A80EF4" w:rsidP="00D135B0">
      <w:pPr>
        <w:pStyle w:val="BodyText"/>
      </w:pPr>
      <w:r>
        <w:t xml:space="preserve">A third of employers that sought finance (33%) experienced some difficulty in arranging it.  </w:t>
      </w:r>
    </w:p>
    <w:p w:rsidR="00A80EF4" w:rsidRDefault="00A80EF4" w:rsidP="00D135B0">
      <w:pPr>
        <w:pStyle w:val="BodyText"/>
      </w:pPr>
      <w:r>
        <w:t>Difficulties experienced were chiefly due to not meeting the criteria laid down by the prospective lender/financer (27%) and/or finance being unavailable (21%).</w:t>
      </w:r>
      <w:r w:rsidR="007B58B4">
        <w:t xml:space="preserve">  In one in nine cases, the employer rejected the terms of the finance offered.</w:t>
      </w:r>
    </w:p>
    <w:p w:rsidR="00B7488B" w:rsidRDefault="00B7488B" w:rsidP="00B7488B">
      <w:pPr>
        <w:pStyle w:val="Caption"/>
      </w:pPr>
      <w:r>
        <w:lastRenderedPageBreak/>
        <w:t xml:space="preserve">Figure 6.3:  Difficulties experienced in trying to arrange finance – unprompted, multiple response (where had difficulty arranging finance) </w:t>
      </w:r>
    </w:p>
    <w:p w:rsidR="00B7488B" w:rsidRDefault="00FA2060" w:rsidP="00B7488B">
      <w:pPr>
        <w:pStyle w:val="Caption"/>
      </w:pPr>
      <w:r w:rsidRPr="00FA2060">
        <w:rPr>
          <w:noProof/>
          <w:lang w:eastAsia="en-GB"/>
        </w:rPr>
        <w:drawing>
          <wp:inline distT="0" distB="0" distL="0" distR="0">
            <wp:extent cx="6153150" cy="4229100"/>
            <wp:effectExtent l="0" t="0" r="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488B" w:rsidRDefault="00B7488B" w:rsidP="00B7488B">
      <w:pPr>
        <w:pStyle w:val="BodyText"/>
        <w:rPr>
          <w:rFonts w:cs="Arial"/>
          <w:sz w:val="18"/>
        </w:rPr>
      </w:pPr>
      <w:r>
        <w:rPr>
          <w:rFonts w:cs="Arial"/>
          <w:sz w:val="18"/>
        </w:rPr>
        <w:t xml:space="preserve">Unweighted sample base = 80          </w:t>
      </w:r>
    </w:p>
    <w:p w:rsidR="00B7488B" w:rsidRDefault="00B7488B" w:rsidP="00B7488B">
      <w:pPr>
        <w:pStyle w:val="BodyText"/>
        <w:rPr>
          <w:rFonts w:cs="Arial"/>
          <w:sz w:val="18"/>
        </w:rPr>
      </w:pPr>
      <w:r>
        <w:rPr>
          <w:rFonts w:cs="Arial"/>
          <w:sz w:val="18"/>
        </w:rPr>
        <w:t>QE19.  What difficulties did you experience in trying to arrange this finance?</w:t>
      </w:r>
    </w:p>
    <w:p w:rsidR="00D135B0" w:rsidRDefault="00D135B0" w:rsidP="00D135B0">
      <w:pPr>
        <w:pStyle w:val="BodyText"/>
      </w:pPr>
    </w:p>
    <w:p w:rsidR="00D135B0" w:rsidRDefault="00D135B0" w:rsidP="00D135B0">
      <w:pPr>
        <w:pStyle w:val="Heading2"/>
      </w:pPr>
      <w:bookmarkStart w:id="54" w:name="_Toc394057545"/>
      <w:r>
        <w:t>Anticipated investment</w:t>
      </w:r>
      <w:bookmarkEnd w:id="54"/>
    </w:p>
    <w:p w:rsidR="00EA04E1" w:rsidRDefault="00EA04E1" w:rsidP="00D135B0">
      <w:pPr>
        <w:pStyle w:val="BodyText"/>
      </w:pPr>
      <w:r>
        <w:t>When asked about areas of anticipated investment over the next two years, more than four-fifths of private sector employers (84%) expect to invest in any.  This proportion ranges from 82% amongst those with between 2 and 9 employees to 94% of those with 25 or more employees.</w:t>
      </w:r>
    </w:p>
    <w:p w:rsidR="006E5B3C" w:rsidRDefault="00EA04E1" w:rsidP="00D135B0">
      <w:pPr>
        <w:pStyle w:val="BodyText"/>
      </w:pPr>
      <w:r>
        <w:t>Employers are most likely to expect to invest in training (61%), while half expect to invest in new technologies (50%), plant/machinery/equipment (49%) and/or new products (47%).</w:t>
      </w:r>
      <w:r w:rsidR="006E5B3C">
        <w:t xml:space="preserve">  A quarter expects to invest in research and development (25%) or expanding or moving premises (24%).</w:t>
      </w:r>
    </w:p>
    <w:p w:rsidR="006E5B3C" w:rsidRDefault="006E5B3C" w:rsidP="00D135B0">
      <w:pPr>
        <w:pStyle w:val="BodyText"/>
      </w:pPr>
      <w:r>
        <w:t>The prospect of investment in new technologies and new products increases gradually with business size, while there is a leap upwards in the expectation of investment in plant/machinery/equipment between employers with less than 25 and more than 25 staff.</w:t>
      </w:r>
    </w:p>
    <w:p w:rsidR="00CE4C68" w:rsidRDefault="00CE4C68" w:rsidP="00D135B0">
      <w:pPr>
        <w:pStyle w:val="BodyText"/>
      </w:pPr>
    </w:p>
    <w:p w:rsidR="00CE4C68" w:rsidRDefault="00CE4C68" w:rsidP="00CE4C68">
      <w:pPr>
        <w:pStyle w:val="Caption"/>
      </w:pPr>
      <w:r>
        <w:lastRenderedPageBreak/>
        <w:t xml:space="preserve">Figure 6.4:  Areas in which employers expect to invest in the next 2 years – prompted, multiple response (all private sector employers) </w:t>
      </w:r>
    </w:p>
    <w:p w:rsidR="00CE4C68" w:rsidRDefault="00CE4C68" w:rsidP="00CE4C68">
      <w:pPr>
        <w:pStyle w:val="Caption"/>
      </w:pPr>
      <w:r w:rsidRPr="00CE4C68">
        <w:rPr>
          <w:noProof/>
          <w:lang w:eastAsia="en-GB"/>
        </w:rPr>
        <w:drawing>
          <wp:inline distT="0" distB="0" distL="0" distR="0">
            <wp:extent cx="5800725" cy="6715125"/>
            <wp:effectExtent l="0" t="0" r="0" b="0"/>
            <wp:docPr id="3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4C68" w:rsidRDefault="00CE4C68" w:rsidP="00CE4C68">
      <w:pPr>
        <w:pStyle w:val="BodyText"/>
        <w:rPr>
          <w:rFonts w:cs="Arial"/>
          <w:sz w:val="18"/>
        </w:rPr>
      </w:pPr>
      <w:r>
        <w:rPr>
          <w:rFonts w:cs="Arial"/>
          <w:sz w:val="18"/>
        </w:rPr>
        <w:t xml:space="preserve">Unweighted sample base = 1466          </w:t>
      </w:r>
    </w:p>
    <w:p w:rsidR="00CE4C68" w:rsidRDefault="00CE4C68" w:rsidP="00CE4C68">
      <w:pPr>
        <w:pStyle w:val="BodyText"/>
        <w:rPr>
          <w:rFonts w:cs="Arial"/>
          <w:sz w:val="18"/>
        </w:rPr>
      </w:pPr>
      <w:r>
        <w:rPr>
          <w:rFonts w:cs="Arial"/>
          <w:sz w:val="18"/>
        </w:rPr>
        <w:t>QE20.  Over the next 2 years, do you expect to invest in any of the following?</w:t>
      </w:r>
    </w:p>
    <w:p w:rsidR="00F03FF3" w:rsidRDefault="00F03FF3" w:rsidP="00CE4C68">
      <w:pPr>
        <w:pStyle w:val="BodyText"/>
        <w:rPr>
          <w:rFonts w:cs="Arial"/>
          <w:sz w:val="1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E5B3C" w:rsidRDefault="006E5B3C" w:rsidP="00D135B0">
      <w:pPr>
        <w:pStyle w:val="BodyText"/>
      </w:pPr>
    </w:p>
    <w:p w:rsidR="00EA04E1" w:rsidRDefault="00EA04E1" w:rsidP="00D135B0">
      <w:pPr>
        <w:pStyle w:val="BodyText"/>
      </w:pPr>
    </w:p>
    <w:p w:rsidR="00D135B0" w:rsidRDefault="00173461" w:rsidP="00D135B0">
      <w:pPr>
        <w:pStyle w:val="BodyText"/>
      </w:pPr>
      <w:r>
        <w:lastRenderedPageBreak/>
        <w:t>There is likely to be higher than average incidence of investment in the next two years in training in private education and health (88%) and construction (74%).  Employers in the transport and communications sector are significantly more likely than average to be considering investment in new technologies (69%), while those in distribution/hotels/</w:t>
      </w:r>
      <w:r w:rsidR="003B78A0">
        <w:t xml:space="preserve"> </w:t>
      </w:r>
      <w:r>
        <w:t>restaurants are significantly more likely than average to invest in new products.  Overall, employers in the distribution/hotels/restaurants sector are significantly less likely than average to expect to invest in any of the areas (79%), while investment in any of the areas is significantly more likely in private education and health (91%).</w:t>
      </w:r>
    </w:p>
    <w:p w:rsidR="00173461" w:rsidRDefault="008A5000" w:rsidP="00173461">
      <w:pPr>
        <w:pStyle w:val="Caption"/>
      </w:pPr>
      <w:r>
        <w:t>Table 6.5</w:t>
      </w:r>
      <w:r w:rsidR="00173461">
        <w:t>: Areas in which employers expect to invest in the next 2 years – prompted, multiple response (all private sector employers)</w:t>
      </w:r>
    </w:p>
    <w:tbl>
      <w:tblPr>
        <w:tblStyle w:val="LightList-Accent6"/>
        <w:tblW w:w="10018" w:type="dxa"/>
        <w:tblInd w:w="108" w:type="dxa"/>
        <w:tblLook w:val="04A0" w:firstRow="1" w:lastRow="0" w:firstColumn="1" w:lastColumn="0" w:noHBand="0" w:noVBand="1"/>
      </w:tblPr>
      <w:tblGrid>
        <w:gridCol w:w="2694"/>
        <w:gridCol w:w="979"/>
        <w:gridCol w:w="734"/>
        <w:gridCol w:w="644"/>
        <w:gridCol w:w="694"/>
        <w:gridCol w:w="688"/>
        <w:gridCol w:w="694"/>
        <w:gridCol w:w="694"/>
        <w:gridCol w:w="689"/>
        <w:gridCol w:w="688"/>
        <w:gridCol w:w="820"/>
      </w:tblGrid>
      <w:tr w:rsidR="007C140E" w:rsidRPr="003C0922" w:rsidTr="007C140E">
        <w:trPr>
          <w:cnfStyle w:val="100000000000" w:firstRow="1" w:lastRow="0" w:firstColumn="0" w:lastColumn="0" w:oddVBand="0" w:evenVBand="0" w:oddHBand="0" w:evenHBand="0" w:firstRowFirstColumn="0" w:firstRowLastColumn="0" w:lastRowFirstColumn="0" w:lastRowLastColumn="0"/>
          <w:cantSplit/>
          <w:trHeight w:val="245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7C140E" w:rsidRPr="003C0922" w:rsidRDefault="007C140E" w:rsidP="00173461">
            <w:pPr>
              <w:spacing w:before="60" w:after="60"/>
              <w:rPr>
                <w:rFonts w:cstheme="minorHAnsi"/>
                <w:b w:val="0"/>
                <w:sz w:val="20"/>
              </w:rPr>
            </w:pPr>
            <w:r>
              <w:rPr>
                <w:rFonts w:cstheme="minorHAnsi"/>
                <w:b w:val="0"/>
                <w:sz w:val="20"/>
              </w:rPr>
              <w:t>Column percentages</w:t>
            </w:r>
          </w:p>
        </w:tc>
        <w:tc>
          <w:tcPr>
            <w:tcW w:w="979" w:type="dxa"/>
            <w:textDirection w:val="tbRl"/>
            <w:vAlign w:val="center"/>
          </w:tcPr>
          <w:p w:rsidR="007C140E" w:rsidRPr="003B78A0" w:rsidRDefault="007C140E" w:rsidP="00173461">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3B78A0">
              <w:rPr>
                <w:rFonts w:cstheme="minorHAnsi"/>
              </w:rPr>
              <w:t>Greater Lincolnshire</w:t>
            </w:r>
          </w:p>
        </w:tc>
        <w:tc>
          <w:tcPr>
            <w:tcW w:w="734"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644"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694"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68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694"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694"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689"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688"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82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1F1D0A"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Training</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61</w:t>
            </w:r>
          </w:p>
        </w:tc>
        <w:tc>
          <w:tcPr>
            <w:tcW w:w="73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58</w:t>
            </w:r>
          </w:p>
        </w:tc>
        <w:tc>
          <w:tcPr>
            <w:tcW w:w="64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77</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63</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53</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74</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52</w:t>
            </w:r>
          </w:p>
        </w:tc>
        <w:tc>
          <w:tcPr>
            <w:tcW w:w="689"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63</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61</w:t>
            </w:r>
          </w:p>
        </w:tc>
        <w:tc>
          <w:tcPr>
            <w:tcW w:w="820" w:type="dxa"/>
            <w:tcBorders>
              <w:lef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88</w:t>
            </w:r>
          </w:p>
        </w:tc>
      </w:tr>
      <w:tr w:rsidR="001F1D0A" w:rsidTr="007C140E">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New technologies</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50</w:t>
            </w:r>
          </w:p>
        </w:tc>
        <w:tc>
          <w:tcPr>
            <w:tcW w:w="73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55</w:t>
            </w:r>
          </w:p>
        </w:tc>
        <w:tc>
          <w:tcPr>
            <w:tcW w:w="64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44</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55</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57</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49</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D2202">
              <w:rPr>
                <w:rFonts w:cstheme="minorHAnsi"/>
                <w:i/>
                <w:color w:val="000000"/>
              </w:rPr>
              <w:t>44</w:t>
            </w:r>
          </w:p>
        </w:tc>
        <w:tc>
          <w:tcPr>
            <w:tcW w:w="689"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D2202">
              <w:rPr>
                <w:rFonts w:cstheme="minorHAnsi"/>
                <w:b/>
                <w:color w:val="000000"/>
              </w:rPr>
              <w:t>69</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46</w:t>
            </w:r>
          </w:p>
        </w:tc>
        <w:tc>
          <w:tcPr>
            <w:tcW w:w="820" w:type="dxa"/>
            <w:tcBorders>
              <w:lef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48</w:t>
            </w:r>
          </w:p>
        </w:tc>
      </w:tr>
      <w:tr w:rsidR="001F1D0A"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Plant/machinery/equipment</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49</w:t>
            </w:r>
          </w:p>
        </w:tc>
        <w:tc>
          <w:tcPr>
            <w:tcW w:w="73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79</w:t>
            </w:r>
          </w:p>
        </w:tc>
        <w:tc>
          <w:tcPr>
            <w:tcW w:w="64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83</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52</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60</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67</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D2202">
              <w:rPr>
                <w:rFonts w:cstheme="minorHAnsi"/>
                <w:i/>
                <w:color w:val="000000"/>
              </w:rPr>
              <w:t>37</w:t>
            </w:r>
          </w:p>
        </w:tc>
        <w:tc>
          <w:tcPr>
            <w:tcW w:w="689"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58</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50</w:t>
            </w:r>
          </w:p>
        </w:tc>
        <w:tc>
          <w:tcPr>
            <w:tcW w:w="820" w:type="dxa"/>
            <w:tcBorders>
              <w:lef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D2202">
              <w:rPr>
                <w:rFonts w:cstheme="minorHAnsi"/>
                <w:i/>
                <w:color w:val="000000"/>
              </w:rPr>
              <w:t>37</w:t>
            </w:r>
          </w:p>
        </w:tc>
      </w:tr>
      <w:tr w:rsidR="001F1D0A" w:rsidTr="007C140E">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New products</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47</w:t>
            </w:r>
          </w:p>
        </w:tc>
        <w:tc>
          <w:tcPr>
            <w:tcW w:w="73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39</w:t>
            </w:r>
          </w:p>
        </w:tc>
        <w:tc>
          <w:tcPr>
            <w:tcW w:w="64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29</w:t>
            </w:r>
          </w:p>
        </w:tc>
        <w:tc>
          <w:tcPr>
            <w:tcW w:w="69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D2202">
              <w:rPr>
                <w:rFonts w:cstheme="minorHAnsi"/>
                <w:i/>
                <w:color w:val="000000"/>
              </w:rPr>
              <w:t>33</w:t>
            </w:r>
          </w:p>
        </w:tc>
        <w:tc>
          <w:tcPr>
            <w:tcW w:w="68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FD2202">
              <w:rPr>
                <w:rFonts w:cstheme="minorHAnsi"/>
                <w:b/>
                <w:color w:val="000000"/>
              </w:rPr>
              <w:t>58</w:t>
            </w:r>
          </w:p>
        </w:tc>
        <w:tc>
          <w:tcPr>
            <w:tcW w:w="69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47</w:t>
            </w:r>
          </w:p>
        </w:tc>
        <w:tc>
          <w:tcPr>
            <w:tcW w:w="69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53</w:t>
            </w:r>
          </w:p>
        </w:tc>
        <w:tc>
          <w:tcPr>
            <w:tcW w:w="68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48</w:t>
            </w:r>
          </w:p>
        </w:tc>
        <w:tc>
          <w:tcPr>
            <w:tcW w:w="68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53</w:t>
            </w:r>
          </w:p>
        </w:tc>
        <w:tc>
          <w:tcPr>
            <w:tcW w:w="82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FD2202">
              <w:rPr>
                <w:rFonts w:cstheme="minorHAnsi"/>
                <w:i/>
                <w:color w:val="000000"/>
              </w:rPr>
              <w:t>34</w:t>
            </w:r>
          </w:p>
        </w:tc>
      </w:tr>
      <w:tr w:rsidR="001F1D0A"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Research and development</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25</w:t>
            </w:r>
          </w:p>
        </w:tc>
        <w:tc>
          <w:tcPr>
            <w:tcW w:w="73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22</w:t>
            </w:r>
          </w:p>
        </w:tc>
        <w:tc>
          <w:tcPr>
            <w:tcW w:w="64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28</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D2202">
              <w:rPr>
                <w:rFonts w:cstheme="minorHAnsi"/>
                <w:i/>
                <w:color w:val="000000"/>
              </w:rPr>
              <w:t>21</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39</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25</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22</w:t>
            </w:r>
          </w:p>
        </w:tc>
        <w:tc>
          <w:tcPr>
            <w:tcW w:w="689"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27</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31</w:t>
            </w:r>
          </w:p>
        </w:tc>
        <w:tc>
          <w:tcPr>
            <w:tcW w:w="820" w:type="dxa"/>
            <w:tcBorders>
              <w:lef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28</w:t>
            </w:r>
          </w:p>
        </w:tc>
      </w:tr>
      <w:tr w:rsidR="001F1D0A" w:rsidTr="007C140E">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Expanding or moving premises</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24</w:t>
            </w:r>
          </w:p>
        </w:tc>
        <w:tc>
          <w:tcPr>
            <w:tcW w:w="73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16</w:t>
            </w:r>
          </w:p>
        </w:tc>
        <w:tc>
          <w:tcPr>
            <w:tcW w:w="64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30</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26</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29</w:t>
            </w:r>
          </w:p>
        </w:tc>
        <w:tc>
          <w:tcPr>
            <w:tcW w:w="694" w:type="dxa"/>
            <w:tcBorders>
              <w:lef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28</w:t>
            </w:r>
          </w:p>
        </w:tc>
        <w:tc>
          <w:tcPr>
            <w:tcW w:w="694" w:type="dxa"/>
            <w:tcBorders>
              <w:lef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22</w:t>
            </w:r>
          </w:p>
        </w:tc>
        <w:tc>
          <w:tcPr>
            <w:tcW w:w="689" w:type="dxa"/>
            <w:tcBorders>
              <w:lef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31</w:t>
            </w:r>
          </w:p>
        </w:tc>
        <w:tc>
          <w:tcPr>
            <w:tcW w:w="688" w:type="dxa"/>
            <w:tcBorders>
              <w:lef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21</w:t>
            </w:r>
          </w:p>
        </w:tc>
        <w:tc>
          <w:tcPr>
            <w:tcW w:w="820" w:type="dxa"/>
            <w:tcBorders>
              <w:left w:val="single" w:sz="8" w:space="0" w:color="73A5D8" w:themeColor="accent6"/>
            </w:tcBorders>
            <w:vAlign w:val="center"/>
          </w:tcPr>
          <w:p w:rsidR="001F1D0A" w:rsidRPr="00FD2202" w:rsidRDefault="001F1D0A"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25</w:t>
            </w:r>
          </w:p>
        </w:tc>
      </w:tr>
      <w:tr w:rsidR="001F1D0A"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1D0A" w:rsidRPr="003B78A0" w:rsidRDefault="001F1D0A" w:rsidP="003B78A0">
            <w:pPr>
              <w:spacing w:before="60" w:after="60"/>
              <w:rPr>
                <w:rFonts w:cstheme="minorHAnsi"/>
                <w:b w:val="0"/>
                <w:color w:val="000000"/>
                <w:sz w:val="20"/>
              </w:rPr>
            </w:pPr>
            <w:r w:rsidRPr="003B78A0">
              <w:rPr>
                <w:rFonts w:cstheme="minorHAnsi"/>
                <w:b w:val="0"/>
                <w:color w:val="000000"/>
                <w:sz w:val="20"/>
              </w:rPr>
              <w:t>Flood defense</w:t>
            </w:r>
          </w:p>
        </w:tc>
        <w:tc>
          <w:tcPr>
            <w:tcW w:w="979" w:type="dxa"/>
            <w:tcBorders>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6</w:t>
            </w:r>
          </w:p>
        </w:tc>
        <w:tc>
          <w:tcPr>
            <w:tcW w:w="73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18</w:t>
            </w:r>
          </w:p>
        </w:tc>
        <w:tc>
          <w:tcPr>
            <w:tcW w:w="64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11</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6</w:t>
            </w:r>
          </w:p>
        </w:tc>
        <w:tc>
          <w:tcPr>
            <w:tcW w:w="694"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5</w:t>
            </w:r>
          </w:p>
        </w:tc>
        <w:tc>
          <w:tcPr>
            <w:tcW w:w="689"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7</w:t>
            </w:r>
          </w:p>
        </w:tc>
        <w:tc>
          <w:tcPr>
            <w:tcW w:w="688" w:type="dxa"/>
            <w:tcBorders>
              <w:left w:val="single" w:sz="8" w:space="0" w:color="73A5D8" w:themeColor="accent6"/>
              <w:righ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7</w:t>
            </w:r>
          </w:p>
        </w:tc>
        <w:tc>
          <w:tcPr>
            <w:tcW w:w="820" w:type="dxa"/>
            <w:tcBorders>
              <w:left w:val="single" w:sz="8" w:space="0" w:color="73A5D8" w:themeColor="accent6"/>
            </w:tcBorders>
            <w:vAlign w:val="center"/>
          </w:tcPr>
          <w:p w:rsidR="001F1D0A" w:rsidRPr="00FD2202" w:rsidRDefault="001F1D0A"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w:t>
            </w:r>
          </w:p>
        </w:tc>
      </w:tr>
      <w:tr w:rsidR="00FD2202" w:rsidTr="007C140E">
        <w:tc>
          <w:tcPr>
            <w:cnfStyle w:val="001000000000" w:firstRow="0" w:lastRow="0" w:firstColumn="1" w:lastColumn="0" w:oddVBand="0" w:evenVBand="0" w:oddHBand="0" w:evenHBand="0" w:firstRowFirstColumn="0" w:firstRowLastColumn="0" w:lastRowFirstColumn="0" w:lastRowLastColumn="0"/>
            <w:tcW w:w="2694" w:type="dxa"/>
            <w:tcBorders>
              <w:bottom w:val="double" w:sz="4" w:space="0" w:color="73A5D8" w:themeColor="accent6"/>
            </w:tcBorders>
            <w:vAlign w:val="bottom"/>
          </w:tcPr>
          <w:p w:rsidR="00FD2202" w:rsidRPr="003B78A0" w:rsidRDefault="00FD2202" w:rsidP="003B78A0">
            <w:pPr>
              <w:spacing w:before="60" w:after="60"/>
              <w:rPr>
                <w:rFonts w:cstheme="minorHAnsi"/>
                <w:b w:val="0"/>
                <w:color w:val="000000"/>
                <w:sz w:val="20"/>
              </w:rPr>
            </w:pPr>
            <w:r w:rsidRPr="003B78A0">
              <w:rPr>
                <w:rFonts w:cstheme="minorHAnsi"/>
                <w:b w:val="0"/>
                <w:color w:val="000000"/>
                <w:sz w:val="20"/>
              </w:rPr>
              <w:t>Any other areas</w:t>
            </w:r>
          </w:p>
        </w:tc>
        <w:tc>
          <w:tcPr>
            <w:tcW w:w="979" w:type="dxa"/>
            <w:tcBorders>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6</w:t>
            </w:r>
          </w:p>
        </w:tc>
        <w:tc>
          <w:tcPr>
            <w:tcW w:w="734"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9</w:t>
            </w:r>
          </w:p>
        </w:tc>
        <w:tc>
          <w:tcPr>
            <w:tcW w:w="644"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0</w:t>
            </w:r>
          </w:p>
        </w:tc>
        <w:tc>
          <w:tcPr>
            <w:tcW w:w="694"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9</w:t>
            </w:r>
          </w:p>
        </w:tc>
        <w:tc>
          <w:tcPr>
            <w:tcW w:w="688"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w:t>
            </w:r>
          </w:p>
        </w:tc>
        <w:tc>
          <w:tcPr>
            <w:tcW w:w="694"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w:t>
            </w:r>
          </w:p>
        </w:tc>
        <w:tc>
          <w:tcPr>
            <w:tcW w:w="694"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w:t>
            </w:r>
          </w:p>
        </w:tc>
        <w:tc>
          <w:tcPr>
            <w:tcW w:w="689"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6</w:t>
            </w:r>
          </w:p>
        </w:tc>
        <w:tc>
          <w:tcPr>
            <w:tcW w:w="688"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5</w:t>
            </w:r>
          </w:p>
        </w:tc>
        <w:tc>
          <w:tcPr>
            <w:tcW w:w="820" w:type="dxa"/>
            <w:tcBorders>
              <w:top w:val="single" w:sz="8" w:space="0" w:color="73A5D8" w:themeColor="accent6"/>
              <w:left w:val="single" w:sz="8" w:space="0" w:color="73A5D8" w:themeColor="accent6"/>
              <w:bottom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4</w:t>
            </w:r>
          </w:p>
        </w:tc>
      </w:tr>
      <w:tr w:rsidR="00FD2202"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double" w:sz="4" w:space="0" w:color="73A5D8" w:themeColor="accent6"/>
            </w:tcBorders>
            <w:vAlign w:val="bottom"/>
          </w:tcPr>
          <w:p w:rsidR="00FD2202" w:rsidRPr="003B78A0" w:rsidRDefault="00FD2202" w:rsidP="003B78A0">
            <w:pPr>
              <w:spacing w:before="60" w:after="60"/>
              <w:rPr>
                <w:rFonts w:cstheme="minorHAnsi"/>
                <w:b w:val="0"/>
                <w:color w:val="000000"/>
                <w:sz w:val="20"/>
              </w:rPr>
            </w:pPr>
            <w:r w:rsidRPr="003B78A0">
              <w:rPr>
                <w:rFonts w:cstheme="minorHAnsi"/>
                <w:b w:val="0"/>
                <w:color w:val="000000"/>
                <w:sz w:val="20"/>
              </w:rPr>
              <w:t>Expect to invest in any</w:t>
            </w:r>
          </w:p>
        </w:tc>
        <w:tc>
          <w:tcPr>
            <w:tcW w:w="979" w:type="dxa"/>
            <w:tcBorders>
              <w:top w:val="double" w:sz="4"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84</w:t>
            </w:r>
          </w:p>
        </w:tc>
        <w:tc>
          <w:tcPr>
            <w:tcW w:w="734"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88</w:t>
            </w:r>
          </w:p>
        </w:tc>
        <w:tc>
          <w:tcPr>
            <w:tcW w:w="644"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92</w:t>
            </w:r>
          </w:p>
        </w:tc>
        <w:tc>
          <w:tcPr>
            <w:tcW w:w="694"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85</w:t>
            </w:r>
          </w:p>
        </w:tc>
        <w:tc>
          <w:tcPr>
            <w:tcW w:w="688"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89</w:t>
            </w:r>
          </w:p>
        </w:tc>
        <w:tc>
          <w:tcPr>
            <w:tcW w:w="694"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90</w:t>
            </w:r>
          </w:p>
        </w:tc>
        <w:tc>
          <w:tcPr>
            <w:tcW w:w="694"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FD2202">
              <w:rPr>
                <w:rFonts w:cstheme="minorHAnsi"/>
                <w:i/>
                <w:color w:val="000000"/>
              </w:rPr>
              <w:t>79</w:t>
            </w:r>
          </w:p>
        </w:tc>
        <w:tc>
          <w:tcPr>
            <w:tcW w:w="689"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86</w:t>
            </w:r>
          </w:p>
        </w:tc>
        <w:tc>
          <w:tcPr>
            <w:tcW w:w="688" w:type="dxa"/>
            <w:tcBorders>
              <w:top w:val="double" w:sz="4" w:space="0" w:color="73A5D8" w:themeColor="accent6"/>
              <w:left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2202">
              <w:rPr>
                <w:rFonts w:cstheme="minorHAnsi"/>
                <w:color w:val="000000"/>
              </w:rPr>
              <w:t>82</w:t>
            </w:r>
          </w:p>
        </w:tc>
        <w:tc>
          <w:tcPr>
            <w:tcW w:w="820" w:type="dxa"/>
            <w:tcBorders>
              <w:top w:val="double" w:sz="4" w:space="0" w:color="73A5D8" w:themeColor="accent6"/>
              <w:left w:val="single" w:sz="8" w:space="0" w:color="73A5D8" w:themeColor="accent6"/>
            </w:tcBorders>
            <w:vAlign w:val="center"/>
          </w:tcPr>
          <w:p w:rsidR="00FD2202" w:rsidRPr="00FD2202" w:rsidRDefault="00FD2202" w:rsidP="003B78A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FD2202">
              <w:rPr>
                <w:rFonts w:cstheme="minorHAnsi"/>
                <w:b/>
                <w:color w:val="000000"/>
              </w:rPr>
              <w:t>91</w:t>
            </w:r>
          </w:p>
        </w:tc>
      </w:tr>
      <w:tr w:rsidR="00FD2202" w:rsidTr="007C140E">
        <w:tc>
          <w:tcPr>
            <w:cnfStyle w:val="001000000000" w:firstRow="0" w:lastRow="0" w:firstColumn="1" w:lastColumn="0" w:oddVBand="0" w:evenVBand="0" w:oddHBand="0" w:evenHBand="0" w:firstRowFirstColumn="0" w:firstRowLastColumn="0" w:lastRowFirstColumn="0" w:lastRowLastColumn="0"/>
            <w:tcW w:w="2694" w:type="dxa"/>
            <w:vAlign w:val="bottom"/>
          </w:tcPr>
          <w:p w:rsidR="00FD2202" w:rsidRPr="003B78A0" w:rsidRDefault="00FD2202" w:rsidP="003B78A0">
            <w:pPr>
              <w:spacing w:before="60" w:after="60"/>
              <w:rPr>
                <w:rFonts w:cstheme="minorHAnsi"/>
                <w:b w:val="0"/>
                <w:color w:val="000000"/>
                <w:sz w:val="20"/>
              </w:rPr>
            </w:pPr>
            <w:r w:rsidRPr="003B78A0">
              <w:rPr>
                <w:rFonts w:cstheme="minorHAnsi"/>
                <w:b w:val="0"/>
                <w:color w:val="000000"/>
                <w:sz w:val="20"/>
              </w:rPr>
              <w:t>Do not expect to invest in any</w:t>
            </w:r>
          </w:p>
        </w:tc>
        <w:tc>
          <w:tcPr>
            <w:tcW w:w="979" w:type="dxa"/>
            <w:tcBorders>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16</w:t>
            </w:r>
          </w:p>
        </w:tc>
        <w:tc>
          <w:tcPr>
            <w:tcW w:w="73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12</w:t>
            </w:r>
          </w:p>
        </w:tc>
        <w:tc>
          <w:tcPr>
            <w:tcW w:w="64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8</w:t>
            </w:r>
          </w:p>
        </w:tc>
        <w:tc>
          <w:tcPr>
            <w:tcW w:w="69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15</w:t>
            </w:r>
          </w:p>
        </w:tc>
        <w:tc>
          <w:tcPr>
            <w:tcW w:w="68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11</w:t>
            </w:r>
          </w:p>
        </w:tc>
        <w:tc>
          <w:tcPr>
            <w:tcW w:w="69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10</w:t>
            </w:r>
          </w:p>
        </w:tc>
        <w:tc>
          <w:tcPr>
            <w:tcW w:w="69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21</w:t>
            </w:r>
          </w:p>
        </w:tc>
        <w:tc>
          <w:tcPr>
            <w:tcW w:w="689"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14</w:t>
            </w:r>
          </w:p>
        </w:tc>
        <w:tc>
          <w:tcPr>
            <w:tcW w:w="688"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18</w:t>
            </w:r>
          </w:p>
        </w:tc>
        <w:tc>
          <w:tcPr>
            <w:tcW w:w="82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FD2202" w:rsidRPr="00FD2202" w:rsidRDefault="00FD2202" w:rsidP="003B78A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D2202">
              <w:rPr>
                <w:rFonts w:cstheme="minorHAnsi"/>
                <w:color w:val="000000"/>
              </w:rPr>
              <w:t>9</w:t>
            </w:r>
          </w:p>
        </w:tc>
      </w:tr>
      <w:tr w:rsidR="00173461" w:rsidRPr="003C0922"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173461" w:rsidRPr="003C0922" w:rsidRDefault="00173461" w:rsidP="00173461">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979" w:type="dxa"/>
            <w:tcBorders>
              <w:righ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1466</w:t>
            </w:r>
          </w:p>
        </w:tc>
        <w:tc>
          <w:tcPr>
            <w:tcW w:w="734" w:type="dxa"/>
            <w:tcBorders>
              <w:left w:val="single" w:sz="8" w:space="0" w:color="73A5D8" w:themeColor="accent6"/>
              <w:righ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75</w:t>
            </w:r>
          </w:p>
        </w:tc>
        <w:tc>
          <w:tcPr>
            <w:tcW w:w="644" w:type="dxa"/>
            <w:tcBorders>
              <w:left w:val="single" w:sz="8" w:space="0" w:color="73A5D8" w:themeColor="accent6"/>
              <w:righ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w:t>
            </w:r>
          </w:p>
        </w:tc>
        <w:tc>
          <w:tcPr>
            <w:tcW w:w="694" w:type="dxa"/>
            <w:tcBorders>
              <w:left w:val="single" w:sz="8" w:space="0" w:color="73A5D8" w:themeColor="accent6"/>
              <w:righ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325</w:t>
            </w:r>
          </w:p>
        </w:tc>
        <w:tc>
          <w:tcPr>
            <w:tcW w:w="688" w:type="dxa"/>
            <w:tcBorders>
              <w:left w:val="single" w:sz="8" w:space="0" w:color="73A5D8" w:themeColor="accent6"/>
              <w:righ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89</w:t>
            </w:r>
          </w:p>
        </w:tc>
        <w:tc>
          <w:tcPr>
            <w:tcW w:w="694" w:type="dxa"/>
            <w:tcBorders>
              <w:lef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133</w:t>
            </w:r>
          </w:p>
        </w:tc>
        <w:tc>
          <w:tcPr>
            <w:tcW w:w="694" w:type="dxa"/>
            <w:tcBorders>
              <w:lef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461</w:t>
            </w:r>
          </w:p>
        </w:tc>
        <w:tc>
          <w:tcPr>
            <w:tcW w:w="689" w:type="dxa"/>
            <w:tcBorders>
              <w:lef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95</w:t>
            </w:r>
          </w:p>
        </w:tc>
        <w:tc>
          <w:tcPr>
            <w:tcW w:w="688" w:type="dxa"/>
            <w:tcBorders>
              <w:lef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88</w:t>
            </w:r>
          </w:p>
        </w:tc>
        <w:tc>
          <w:tcPr>
            <w:tcW w:w="820" w:type="dxa"/>
            <w:tcBorders>
              <w:left w:val="single" w:sz="8" w:space="0" w:color="73A5D8" w:themeColor="accent6"/>
            </w:tcBorders>
            <w:vAlign w:val="center"/>
          </w:tcPr>
          <w:p w:rsidR="00173461" w:rsidRPr="003C0922" w:rsidRDefault="00173461" w:rsidP="0017346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182</w:t>
            </w:r>
          </w:p>
        </w:tc>
      </w:tr>
    </w:tbl>
    <w:p w:rsidR="00173461" w:rsidRDefault="00173461" w:rsidP="00173461">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173461" w:rsidRPr="00D135B0" w:rsidRDefault="00173461" w:rsidP="00D135B0">
      <w:pPr>
        <w:pStyle w:val="BodyText"/>
      </w:pPr>
    </w:p>
    <w:p w:rsidR="00D135B0" w:rsidRDefault="00D135B0" w:rsidP="00D135B0">
      <w:pPr>
        <w:pStyle w:val="BodyText"/>
      </w:pPr>
    </w:p>
    <w:p w:rsidR="00540054" w:rsidRDefault="00D135B0" w:rsidP="00D135B0">
      <w:pPr>
        <w:pStyle w:val="Heading1"/>
      </w:pPr>
      <w:bookmarkStart w:id="55" w:name="_Toc394057546"/>
      <w:r>
        <w:lastRenderedPageBreak/>
        <w:t>Recruitment and Skill Shortages</w:t>
      </w:r>
      <w:bookmarkEnd w:id="55"/>
    </w:p>
    <w:p w:rsidR="00651896" w:rsidRDefault="00651896" w:rsidP="00651896"/>
    <w:p w:rsidR="00D135B0" w:rsidRDefault="00D135B0" w:rsidP="00D135B0">
      <w:pPr>
        <w:pStyle w:val="Heading2"/>
      </w:pPr>
      <w:bookmarkStart w:id="56" w:name="_Toc394057547"/>
      <w:r>
        <w:t>Key findings</w:t>
      </w:r>
      <w:bookmarkEnd w:id="56"/>
    </w:p>
    <w:p w:rsidR="00D135B0" w:rsidRDefault="00CE6ACE" w:rsidP="00D135B0">
      <w:pPr>
        <w:pStyle w:val="BodyText"/>
      </w:pPr>
      <w:r>
        <w:t>Around half of employers in Greater Lincolnshire (48%) have recruited any staff in the last 12 months.  This increases to 83% of those with 10 or more staff.</w:t>
      </w:r>
    </w:p>
    <w:p w:rsidR="00CE6ACE" w:rsidRDefault="00CE6ACE" w:rsidP="00D135B0">
      <w:pPr>
        <w:pStyle w:val="BodyText"/>
      </w:pPr>
      <w:r>
        <w:t>The most likely posts recruited for are those at the lower skill levels, semi- and un-skilled workers.</w:t>
      </w:r>
    </w:p>
    <w:p w:rsidR="00CE6ACE" w:rsidRDefault="00CE6ACE" w:rsidP="00D135B0">
      <w:pPr>
        <w:pStyle w:val="BodyText"/>
      </w:pPr>
      <w:r>
        <w:t>More than four-fifths of employers that have recruited any staff in the last 12 months have recruited someone from a ‘disadvantaged’ group, which includes (and is most likely to be) people aged 45+.</w:t>
      </w:r>
    </w:p>
    <w:p w:rsidR="00CE6ACE" w:rsidRDefault="00CE6ACE" w:rsidP="00D135B0">
      <w:pPr>
        <w:pStyle w:val="BodyText"/>
      </w:pPr>
      <w:r>
        <w:t>Around one in four employers that have recruited (23%) report some of the vacancies as being hard-to-fill.  This equates to 11% of all employers.</w:t>
      </w:r>
    </w:p>
    <w:p w:rsidR="00CE6ACE" w:rsidRDefault="00CE6ACE" w:rsidP="00D135B0">
      <w:pPr>
        <w:pStyle w:val="BodyText"/>
      </w:pPr>
      <w:r>
        <w:t>Recruitment difficulties are most likely to have been experienced with regard to professional occupations, with managerial/director/senior official posts also significant in this respect.</w:t>
      </w:r>
    </w:p>
    <w:p w:rsidR="00CE6ACE" w:rsidRDefault="00CE6ACE" w:rsidP="00D135B0">
      <w:pPr>
        <w:pStyle w:val="BodyText"/>
      </w:pPr>
      <w:r>
        <w:t>Lack of skills, experience and qualifications among applicants predominate as reasons for vacancies being hard-to-fill.</w:t>
      </w:r>
    </w:p>
    <w:p w:rsidR="00D135B0" w:rsidRDefault="00310C0B" w:rsidP="00D135B0">
      <w:pPr>
        <w:pStyle w:val="Heading2"/>
      </w:pPr>
      <w:bookmarkStart w:id="57" w:name="_Toc394057548"/>
      <w:r>
        <w:t>Recent recruitment activity</w:t>
      </w:r>
      <w:bookmarkEnd w:id="57"/>
    </w:p>
    <w:p w:rsidR="00355192" w:rsidRDefault="00355192" w:rsidP="00310C0B">
      <w:pPr>
        <w:pStyle w:val="BodyText"/>
      </w:pPr>
      <w:r>
        <w:t>Nearly half the employers in Greater Lincolnshire (48%) have recruited any staff in the last 12 months.  The proportion increases with business size and there is a significant increase between employers with fewer than 10 staff (36%) to those with 10 or more (83%).</w:t>
      </w:r>
    </w:p>
    <w:p w:rsidR="00355192" w:rsidRDefault="00355192" w:rsidP="00355192">
      <w:pPr>
        <w:pStyle w:val="Caption"/>
      </w:pPr>
      <w:r>
        <w:t xml:space="preserve">Figure 7.1:  Proportion of employers that have recruited any staff in the last 12 months, by business size (all employers) </w:t>
      </w:r>
    </w:p>
    <w:p w:rsidR="00355192" w:rsidRDefault="00355192" w:rsidP="00355192">
      <w:pPr>
        <w:pStyle w:val="Caption"/>
      </w:pPr>
      <w:r w:rsidRPr="00355192">
        <w:rPr>
          <w:noProof/>
          <w:lang w:eastAsia="en-GB"/>
        </w:rPr>
        <w:drawing>
          <wp:inline distT="0" distB="0" distL="0" distR="0">
            <wp:extent cx="5924550" cy="2895600"/>
            <wp:effectExtent l="0" t="0" r="0" b="0"/>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5192" w:rsidRDefault="00355192" w:rsidP="00355192">
      <w:pPr>
        <w:pStyle w:val="BodyText"/>
        <w:rPr>
          <w:rFonts w:cs="Arial"/>
          <w:sz w:val="18"/>
        </w:rPr>
      </w:pPr>
      <w:r>
        <w:rPr>
          <w:rFonts w:cs="Arial"/>
          <w:sz w:val="18"/>
        </w:rPr>
        <w:t xml:space="preserve">Unweighted sample base = 1515           </w:t>
      </w:r>
    </w:p>
    <w:p w:rsidR="00355192" w:rsidRDefault="00355192" w:rsidP="00355192">
      <w:pPr>
        <w:pStyle w:val="BodyText"/>
        <w:rPr>
          <w:rFonts w:cs="Arial"/>
          <w:sz w:val="18"/>
        </w:rPr>
      </w:pPr>
      <w:r>
        <w:rPr>
          <w:rFonts w:cs="Arial"/>
          <w:sz w:val="18"/>
        </w:rPr>
        <w:t>QB4.  Have you recruited any staff in the last 12 months?</w:t>
      </w:r>
    </w:p>
    <w:p w:rsidR="00355192" w:rsidRDefault="004F1AE8" w:rsidP="00310C0B">
      <w:pPr>
        <w:pStyle w:val="BodyText"/>
      </w:pPr>
      <w:r>
        <w:lastRenderedPageBreak/>
        <w:t>Business size is the key determinant of recruitment activity, with sector variances generally reflective of average business size within the sector.</w:t>
      </w:r>
      <w:r w:rsidR="00691B47">
        <w:t xml:space="preserve">  Significantly fewer employers than average in the construction sector (39%)</w:t>
      </w:r>
      <w:r w:rsidR="00BA3B60">
        <w:t>,</w:t>
      </w:r>
      <w:r w:rsidR="00691B47">
        <w:t xml:space="preserve"> other services (34%) </w:t>
      </w:r>
      <w:r w:rsidR="00BA3B60">
        <w:t xml:space="preserve">and agriculture/fishing (24%) </w:t>
      </w:r>
      <w:r w:rsidR="00691B47">
        <w:t xml:space="preserve">have recruited anyone in the last 12 months, while the proportion that have recruited staff is significantly higher than average in </w:t>
      </w:r>
      <w:r w:rsidR="00BA3B60">
        <w:t xml:space="preserve">public administration/education </w:t>
      </w:r>
      <w:r w:rsidR="00691B47">
        <w:t>and health (77%).</w:t>
      </w:r>
    </w:p>
    <w:p w:rsidR="00BE5040" w:rsidRDefault="00BE5040" w:rsidP="00310C0B">
      <w:pPr>
        <w:pStyle w:val="BodyText"/>
      </w:pPr>
      <w:r>
        <w:t xml:space="preserve">Bucking the trend in size being the key determinant of recruitment activity, is the fact that younger businesses are significantly more likely than those established for 5 or more years to have recruited in the last 12 months (57%, compared with 47%).  Businesses in a formative stage of their lifecycle are </w:t>
      </w:r>
      <w:r w:rsidR="003F4636">
        <w:t>particularly</w:t>
      </w:r>
      <w:r>
        <w:t xml:space="preserve"> likely to be in the position of adding new staff.</w:t>
      </w:r>
      <w:r w:rsidR="00857914">
        <w:t xml:space="preserve">  This is confirmed when we look at whether businesses that have recruited have filled existing posts or taken on staff to new posts.  Young businesses (up to 5 years) are significantly more likely to have recruited staff into newly created posts (71%, compared with 49% of longer established businesses).</w:t>
      </w:r>
    </w:p>
    <w:p w:rsidR="00857914" w:rsidRDefault="004811FF" w:rsidP="00310C0B">
      <w:pPr>
        <w:pStyle w:val="BodyText"/>
      </w:pPr>
      <w:r>
        <w:t>It is more common for employers to recruit into existing posts than into newly created posts (67%, compared with 53%).</w:t>
      </w:r>
    </w:p>
    <w:p w:rsidR="004811FF" w:rsidRDefault="004811FF" w:rsidP="00310C0B">
      <w:pPr>
        <w:pStyle w:val="BodyText"/>
      </w:pPr>
      <w:r>
        <w:t>As business size increases, so too does the extent to which staff are recruited into existing posts.  As mentioned, the age of the business is another key factor, as is employment growth in the last 12 months.</w:t>
      </w:r>
    </w:p>
    <w:p w:rsidR="004811FF" w:rsidRDefault="004811FF" w:rsidP="004811FF">
      <w:pPr>
        <w:pStyle w:val="Caption"/>
      </w:pPr>
      <w:r>
        <w:lastRenderedPageBreak/>
        <w:t xml:space="preserve">Figure 7.2:  Type of posts recruited for, by business size, age and employment change (where recruited in the last 12 months) </w:t>
      </w:r>
    </w:p>
    <w:p w:rsidR="004811FF" w:rsidRDefault="00C91FB9" w:rsidP="004811FF">
      <w:pPr>
        <w:pStyle w:val="Caption"/>
      </w:pPr>
      <w:r w:rsidRPr="00C91FB9">
        <w:rPr>
          <w:noProof/>
          <w:lang w:eastAsia="en-GB"/>
        </w:rPr>
        <w:drawing>
          <wp:inline distT="0" distB="0" distL="0" distR="0">
            <wp:extent cx="6010275" cy="4867275"/>
            <wp:effectExtent l="0" t="0" r="0" b="0"/>
            <wp:docPr id="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11FF" w:rsidRDefault="004811FF" w:rsidP="004811FF">
      <w:pPr>
        <w:pStyle w:val="BodyText"/>
        <w:rPr>
          <w:rFonts w:cs="Arial"/>
          <w:sz w:val="18"/>
        </w:rPr>
      </w:pPr>
      <w:r>
        <w:rPr>
          <w:rFonts w:cs="Arial"/>
          <w:sz w:val="18"/>
        </w:rPr>
        <w:t xml:space="preserve">Unweighted sample bases in parentheses </w:t>
      </w:r>
    </w:p>
    <w:p w:rsidR="004811FF" w:rsidRDefault="004811FF" w:rsidP="004811FF">
      <w:pPr>
        <w:pStyle w:val="BodyText"/>
        <w:rPr>
          <w:rFonts w:cs="Arial"/>
          <w:sz w:val="18"/>
        </w:rPr>
      </w:pPr>
      <w:r>
        <w:rPr>
          <w:rFonts w:cs="Arial"/>
          <w:sz w:val="18"/>
        </w:rPr>
        <w:t>QB</w:t>
      </w:r>
      <w:r w:rsidR="00C91FB9">
        <w:rPr>
          <w:rFonts w:cs="Arial"/>
          <w:sz w:val="18"/>
        </w:rPr>
        <w:t>5</w:t>
      </w:r>
      <w:r>
        <w:rPr>
          <w:rFonts w:cs="Arial"/>
          <w:sz w:val="18"/>
        </w:rPr>
        <w:t xml:space="preserve">.  </w:t>
      </w:r>
      <w:r w:rsidR="00C91FB9">
        <w:rPr>
          <w:rFonts w:cs="Arial"/>
          <w:sz w:val="18"/>
        </w:rPr>
        <w:t>Were these staff recruited to fill...</w:t>
      </w:r>
      <w:r>
        <w:rPr>
          <w:rFonts w:cs="Arial"/>
          <w:sz w:val="18"/>
        </w:rPr>
        <w:t>?</w:t>
      </w:r>
    </w:p>
    <w:p w:rsidR="004811FF" w:rsidRDefault="00F03FF3" w:rsidP="00310C0B">
      <w:pPr>
        <w:pStyle w:val="BodyText"/>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r w:rsidR="004811FF">
        <w:t xml:space="preserve"> </w:t>
      </w:r>
    </w:p>
    <w:p w:rsidR="00BE5040" w:rsidRDefault="00E50863" w:rsidP="00310C0B">
      <w:pPr>
        <w:pStyle w:val="BodyText"/>
      </w:pPr>
      <w:r>
        <w:t>The job roles that employers have recruited into are summarised in the figure below.</w:t>
      </w:r>
    </w:p>
    <w:p w:rsidR="00E50863" w:rsidRDefault="00E50863" w:rsidP="00310C0B">
      <w:pPr>
        <w:pStyle w:val="BodyText"/>
      </w:pPr>
    </w:p>
    <w:p w:rsidR="00E50863" w:rsidRDefault="00E50863" w:rsidP="00E50863">
      <w:pPr>
        <w:pStyle w:val="Caption"/>
      </w:pPr>
      <w:r>
        <w:lastRenderedPageBreak/>
        <w:t xml:space="preserve">Figure 7.3:  Jobs </w:t>
      </w:r>
      <w:r w:rsidR="00626941">
        <w:t>into which</w:t>
      </w:r>
      <w:r>
        <w:t xml:space="preserve"> employers have recruited (where recruited in the last 12 months) </w:t>
      </w:r>
    </w:p>
    <w:p w:rsidR="00E50863" w:rsidRDefault="008E63DE" w:rsidP="00E50863">
      <w:pPr>
        <w:pStyle w:val="Caption"/>
      </w:pPr>
      <w:r w:rsidRPr="008E63DE">
        <w:rPr>
          <w:noProof/>
          <w:lang w:eastAsia="en-GB"/>
        </w:rPr>
        <w:drawing>
          <wp:inline distT="0" distB="0" distL="0" distR="0">
            <wp:extent cx="5867400" cy="4105275"/>
            <wp:effectExtent l="0" t="0" r="0" b="0"/>
            <wp:docPr id="3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50863" w:rsidRDefault="00E50863" w:rsidP="00E50863">
      <w:pPr>
        <w:pStyle w:val="BodyText"/>
        <w:rPr>
          <w:rFonts w:cs="Arial"/>
          <w:sz w:val="18"/>
        </w:rPr>
      </w:pPr>
      <w:r>
        <w:rPr>
          <w:rFonts w:cs="Arial"/>
          <w:sz w:val="18"/>
        </w:rPr>
        <w:t xml:space="preserve">Unweighted sample base = 785           </w:t>
      </w:r>
    </w:p>
    <w:p w:rsidR="00E50863" w:rsidRDefault="00E50863" w:rsidP="00E50863">
      <w:pPr>
        <w:pStyle w:val="BodyText"/>
        <w:rPr>
          <w:rFonts w:cs="Arial"/>
          <w:sz w:val="18"/>
        </w:rPr>
      </w:pPr>
      <w:r>
        <w:rPr>
          <w:rFonts w:cs="Arial"/>
          <w:sz w:val="18"/>
        </w:rPr>
        <w:t>QB6.  Into which of the following levels or types of job role did you recruit staff?</w:t>
      </w:r>
    </w:p>
    <w:p w:rsidR="004F1AE8" w:rsidRDefault="00AA2975" w:rsidP="00310C0B">
      <w:pPr>
        <w:pStyle w:val="BodyText"/>
      </w:pPr>
      <w:r>
        <w:t xml:space="preserve">Employers have most frequently recruited into semi-skilled or unskilled posts.  As business size increases so does the range of posts recruited into.  The types of job recruited </w:t>
      </w:r>
      <w:r w:rsidR="003942FE">
        <w:t xml:space="preserve">into, </w:t>
      </w:r>
      <w:r>
        <w:t>varies widely</w:t>
      </w:r>
      <w:r w:rsidR="00A43F52">
        <w:t xml:space="preserve"> by sector, as one might expect, with semi- and unskilled posts significant within distribution/hotels/restaurants</w:t>
      </w:r>
      <w:r w:rsidR="005D7DA5">
        <w:t xml:space="preserve"> and skilled manual/technical/craft jobs significant within construction and manufacturing.</w:t>
      </w:r>
      <w:r w:rsidR="00A43F52">
        <w:t xml:space="preserve">  </w:t>
      </w:r>
      <w:r>
        <w:t xml:space="preserve">  </w:t>
      </w:r>
    </w:p>
    <w:p w:rsidR="003942FE" w:rsidRDefault="003942FE">
      <w:pPr>
        <w:spacing w:after="360"/>
        <w:rPr>
          <w:b/>
          <w:bCs/>
          <w:szCs w:val="18"/>
        </w:rPr>
      </w:pPr>
      <w:r>
        <w:br w:type="page"/>
      </w:r>
    </w:p>
    <w:p w:rsidR="00AA2975" w:rsidRDefault="00AA2975" w:rsidP="00AA2975">
      <w:pPr>
        <w:pStyle w:val="Caption"/>
      </w:pPr>
      <w:r>
        <w:lastRenderedPageBreak/>
        <w:t>Table 7.4: Jobs into which employers have recruited (where recruited in the last 12 months)</w:t>
      </w:r>
    </w:p>
    <w:tbl>
      <w:tblPr>
        <w:tblStyle w:val="LightList-Accent6"/>
        <w:tblW w:w="10206" w:type="dxa"/>
        <w:tblInd w:w="108" w:type="dxa"/>
        <w:tblLook w:val="04A0" w:firstRow="1" w:lastRow="0" w:firstColumn="1" w:lastColumn="0" w:noHBand="0" w:noVBand="1"/>
      </w:tblPr>
      <w:tblGrid>
        <w:gridCol w:w="3261"/>
        <w:gridCol w:w="899"/>
        <w:gridCol w:w="677"/>
        <w:gridCol w:w="605"/>
        <w:gridCol w:w="657"/>
        <w:gridCol w:w="640"/>
        <w:gridCol w:w="645"/>
        <w:gridCol w:w="657"/>
        <w:gridCol w:w="641"/>
        <w:gridCol w:w="640"/>
        <w:gridCol w:w="884"/>
      </w:tblGrid>
      <w:tr w:rsidR="007C140E" w:rsidRPr="003C0922" w:rsidTr="007C140E">
        <w:trPr>
          <w:cnfStyle w:val="100000000000" w:firstRow="1" w:lastRow="0" w:firstColumn="0" w:lastColumn="0" w:oddVBand="0" w:evenVBand="0" w:oddHBand="0" w:evenHBand="0" w:firstRowFirstColumn="0" w:firstRowLastColumn="0" w:lastRowFirstColumn="0" w:lastRowLastColumn="0"/>
          <w:cantSplit/>
          <w:trHeight w:val="2470"/>
        </w:trPr>
        <w:tc>
          <w:tcPr>
            <w:cnfStyle w:val="001000000000" w:firstRow="0" w:lastRow="0" w:firstColumn="1" w:lastColumn="0" w:oddVBand="0" w:evenVBand="0" w:oddHBand="0" w:evenHBand="0" w:firstRowFirstColumn="0" w:firstRowLastColumn="0" w:lastRowFirstColumn="0" w:lastRowLastColumn="0"/>
            <w:tcW w:w="3261" w:type="dxa"/>
            <w:vAlign w:val="bottom"/>
          </w:tcPr>
          <w:p w:rsidR="007C140E" w:rsidRPr="003C0922" w:rsidRDefault="007C140E" w:rsidP="0001260C">
            <w:pPr>
              <w:spacing w:before="60" w:after="60"/>
              <w:rPr>
                <w:rFonts w:cstheme="minorHAnsi"/>
                <w:b w:val="0"/>
                <w:sz w:val="20"/>
              </w:rPr>
            </w:pPr>
            <w:r>
              <w:rPr>
                <w:rFonts w:cstheme="minorHAnsi"/>
                <w:b w:val="0"/>
                <w:sz w:val="20"/>
              </w:rPr>
              <w:t>Column percentages</w:t>
            </w:r>
          </w:p>
        </w:tc>
        <w:tc>
          <w:tcPr>
            <w:tcW w:w="899" w:type="dxa"/>
            <w:textDirection w:val="tbRl"/>
            <w:vAlign w:val="center"/>
          </w:tcPr>
          <w:p w:rsidR="007C140E" w:rsidRPr="00486A1E" w:rsidRDefault="007C140E" w:rsidP="0001260C">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486A1E">
              <w:rPr>
                <w:rFonts w:cstheme="minorHAnsi"/>
              </w:rPr>
              <w:t>Greater Lincolnshire</w:t>
            </w:r>
          </w:p>
        </w:tc>
        <w:tc>
          <w:tcPr>
            <w:tcW w:w="67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60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6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64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64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6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641"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64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884"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AA2975" w:rsidTr="007C140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Managerial/directors/senior officials</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16</w:t>
            </w:r>
          </w:p>
        </w:tc>
        <w:tc>
          <w:tcPr>
            <w:tcW w:w="67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3</w:t>
            </w:r>
          </w:p>
        </w:tc>
        <w:tc>
          <w:tcPr>
            <w:tcW w:w="60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11</w:t>
            </w:r>
          </w:p>
        </w:tc>
        <w:tc>
          <w:tcPr>
            <w:tcW w:w="65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20</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13</w:t>
            </w:r>
          </w:p>
        </w:tc>
        <w:tc>
          <w:tcPr>
            <w:tcW w:w="64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11</w:t>
            </w:r>
          </w:p>
        </w:tc>
        <w:tc>
          <w:tcPr>
            <w:tcW w:w="65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15</w:t>
            </w:r>
          </w:p>
        </w:tc>
        <w:tc>
          <w:tcPr>
            <w:tcW w:w="641"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9</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19</w:t>
            </w:r>
          </w:p>
        </w:tc>
        <w:tc>
          <w:tcPr>
            <w:tcW w:w="884" w:type="dxa"/>
            <w:tcBorders>
              <w:lef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18</w:t>
            </w:r>
          </w:p>
        </w:tc>
      </w:tr>
      <w:tr w:rsidR="00AA2975" w:rsidTr="007C140E">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Professional</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21</w:t>
            </w:r>
          </w:p>
        </w:tc>
        <w:tc>
          <w:tcPr>
            <w:tcW w:w="67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0</w:t>
            </w:r>
          </w:p>
        </w:tc>
        <w:tc>
          <w:tcPr>
            <w:tcW w:w="60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11</w:t>
            </w:r>
          </w:p>
        </w:tc>
        <w:tc>
          <w:tcPr>
            <w:tcW w:w="65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26</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25</w:t>
            </w:r>
          </w:p>
        </w:tc>
        <w:tc>
          <w:tcPr>
            <w:tcW w:w="64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23</w:t>
            </w:r>
          </w:p>
        </w:tc>
        <w:tc>
          <w:tcPr>
            <w:tcW w:w="65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9</w:t>
            </w:r>
          </w:p>
        </w:tc>
        <w:tc>
          <w:tcPr>
            <w:tcW w:w="641"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24</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22</w:t>
            </w:r>
          </w:p>
        </w:tc>
        <w:tc>
          <w:tcPr>
            <w:tcW w:w="884" w:type="dxa"/>
            <w:tcBorders>
              <w:lef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942FE">
              <w:rPr>
                <w:rFonts w:cstheme="minorHAnsi"/>
                <w:b/>
                <w:color w:val="000000"/>
              </w:rPr>
              <w:t>42</w:t>
            </w:r>
          </w:p>
        </w:tc>
      </w:tr>
      <w:tr w:rsidR="00AA2975"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Associate professional/Technical</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11</w:t>
            </w:r>
          </w:p>
        </w:tc>
        <w:tc>
          <w:tcPr>
            <w:tcW w:w="67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3</w:t>
            </w:r>
          </w:p>
        </w:tc>
        <w:tc>
          <w:tcPr>
            <w:tcW w:w="60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11</w:t>
            </w:r>
          </w:p>
        </w:tc>
        <w:tc>
          <w:tcPr>
            <w:tcW w:w="65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15</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14</w:t>
            </w:r>
          </w:p>
        </w:tc>
        <w:tc>
          <w:tcPr>
            <w:tcW w:w="64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11</w:t>
            </w:r>
          </w:p>
        </w:tc>
        <w:tc>
          <w:tcPr>
            <w:tcW w:w="657"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942FE">
              <w:rPr>
                <w:rFonts w:cstheme="minorHAnsi"/>
                <w:i/>
                <w:color w:val="000000"/>
              </w:rPr>
              <w:t>6</w:t>
            </w:r>
          </w:p>
        </w:tc>
        <w:tc>
          <w:tcPr>
            <w:tcW w:w="641"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12</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26</w:t>
            </w:r>
          </w:p>
        </w:tc>
        <w:tc>
          <w:tcPr>
            <w:tcW w:w="884" w:type="dxa"/>
            <w:tcBorders>
              <w:lef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10</w:t>
            </w:r>
          </w:p>
        </w:tc>
      </w:tr>
      <w:tr w:rsidR="00AA2975" w:rsidTr="007C140E">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Supervisory</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13</w:t>
            </w:r>
          </w:p>
        </w:tc>
        <w:tc>
          <w:tcPr>
            <w:tcW w:w="67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0</w:t>
            </w:r>
          </w:p>
        </w:tc>
        <w:tc>
          <w:tcPr>
            <w:tcW w:w="60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11</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13</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17</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13</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13</w:t>
            </w:r>
          </w:p>
        </w:tc>
        <w:tc>
          <w:tcPr>
            <w:tcW w:w="641"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942FE">
              <w:rPr>
                <w:rFonts w:cstheme="minorHAnsi"/>
                <w:i/>
                <w:color w:val="000000"/>
              </w:rPr>
              <w:t>3</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23</w:t>
            </w:r>
          </w:p>
        </w:tc>
        <w:tc>
          <w:tcPr>
            <w:tcW w:w="88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11</w:t>
            </w:r>
          </w:p>
        </w:tc>
      </w:tr>
      <w:tr w:rsidR="00AA2975"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Clerical/administrative/secretarial</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20</w:t>
            </w:r>
          </w:p>
        </w:tc>
        <w:tc>
          <w:tcPr>
            <w:tcW w:w="67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3</w:t>
            </w:r>
          </w:p>
        </w:tc>
        <w:tc>
          <w:tcPr>
            <w:tcW w:w="60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47</w:t>
            </w:r>
          </w:p>
        </w:tc>
        <w:tc>
          <w:tcPr>
            <w:tcW w:w="657"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942FE">
              <w:rPr>
                <w:rFonts w:cstheme="minorHAnsi"/>
                <w:b/>
                <w:color w:val="000000"/>
              </w:rPr>
              <w:t>40</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17</w:t>
            </w:r>
          </w:p>
        </w:tc>
        <w:tc>
          <w:tcPr>
            <w:tcW w:w="64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27</w:t>
            </w:r>
          </w:p>
        </w:tc>
        <w:tc>
          <w:tcPr>
            <w:tcW w:w="657"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942FE">
              <w:rPr>
                <w:rFonts w:cstheme="minorHAnsi"/>
                <w:i/>
                <w:color w:val="000000"/>
              </w:rPr>
              <w:t>8</w:t>
            </w:r>
          </w:p>
        </w:tc>
        <w:tc>
          <w:tcPr>
            <w:tcW w:w="641"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942FE">
              <w:rPr>
                <w:rFonts w:cstheme="minorHAnsi"/>
                <w:b/>
                <w:color w:val="000000"/>
              </w:rPr>
              <w:t>34</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27</w:t>
            </w:r>
          </w:p>
        </w:tc>
        <w:tc>
          <w:tcPr>
            <w:tcW w:w="884" w:type="dxa"/>
            <w:tcBorders>
              <w:lef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20</w:t>
            </w:r>
          </w:p>
        </w:tc>
      </w:tr>
      <w:tr w:rsidR="00AA2975" w:rsidTr="007C140E">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Skilled manual/technical/craft</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26</w:t>
            </w:r>
          </w:p>
        </w:tc>
        <w:tc>
          <w:tcPr>
            <w:tcW w:w="67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30</w:t>
            </w:r>
          </w:p>
        </w:tc>
        <w:tc>
          <w:tcPr>
            <w:tcW w:w="60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42</w:t>
            </w:r>
          </w:p>
        </w:tc>
        <w:tc>
          <w:tcPr>
            <w:tcW w:w="65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24</w:t>
            </w:r>
          </w:p>
        </w:tc>
        <w:tc>
          <w:tcPr>
            <w:tcW w:w="640"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942FE">
              <w:rPr>
                <w:rFonts w:cstheme="minorHAnsi"/>
                <w:b/>
                <w:color w:val="000000"/>
              </w:rPr>
              <w:t>40</w:t>
            </w:r>
          </w:p>
        </w:tc>
        <w:tc>
          <w:tcPr>
            <w:tcW w:w="645" w:type="dxa"/>
            <w:tcBorders>
              <w:lef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942FE">
              <w:rPr>
                <w:rFonts w:cstheme="minorHAnsi"/>
                <w:b/>
                <w:color w:val="000000"/>
              </w:rPr>
              <w:t>55</w:t>
            </w:r>
          </w:p>
        </w:tc>
        <w:tc>
          <w:tcPr>
            <w:tcW w:w="657" w:type="dxa"/>
            <w:tcBorders>
              <w:lef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942FE">
              <w:rPr>
                <w:rFonts w:cstheme="minorHAnsi"/>
                <w:i/>
                <w:color w:val="000000"/>
              </w:rPr>
              <w:t>20</w:t>
            </w:r>
          </w:p>
        </w:tc>
        <w:tc>
          <w:tcPr>
            <w:tcW w:w="641" w:type="dxa"/>
            <w:tcBorders>
              <w:lef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24</w:t>
            </w:r>
          </w:p>
        </w:tc>
        <w:tc>
          <w:tcPr>
            <w:tcW w:w="640" w:type="dxa"/>
            <w:tcBorders>
              <w:lef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32</w:t>
            </w:r>
          </w:p>
        </w:tc>
        <w:tc>
          <w:tcPr>
            <w:tcW w:w="884" w:type="dxa"/>
            <w:tcBorders>
              <w:lef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27</w:t>
            </w:r>
          </w:p>
        </w:tc>
      </w:tr>
      <w:tr w:rsidR="00AA2975"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Semi-skilled</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35</w:t>
            </w:r>
          </w:p>
        </w:tc>
        <w:tc>
          <w:tcPr>
            <w:tcW w:w="677"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55</w:t>
            </w:r>
          </w:p>
        </w:tc>
        <w:tc>
          <w:tcPr>
            <w:tcW w:w="60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33</w:t>
            </w:r>
          </w:p>
        </w:tc>
        <w:tc>
          <w:tcPr>
            <w:tcW w:w="657"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3942FE">
              <w:rPr>
                <w:rFonts w:cstheme="minorHAnsi"/>
                <w:i/>
                <w:color w:val="000000"/>
              </w:rPr>
              <w:t>16</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43</w:t>
            </w:r>
          </w:p>
        </w:tc>
        <w:tc>
          <w:tcPr>
            <w:tcW w:w="645"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23</w:t>
            </w:r>
          </w:p>
        </w:tc>
        <w:tc>
          <w:tcPr>
            <w:tcW w:w="657" w:type="dxa"/>
            <w:tcBorders>
              <w:left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3942FE">
              <w:rPr>
                <w:rFonts w:cstheme="minorHAnsi"/>
                <w:b/>
                <w:color w:val="000000"/>
              </w:rPr>
              <w:t>41</w:t>
            </w:r>
          </w:p>
        </w:tc>
        <w:tc>
          <w:tcPr>
            <w:tcW w:w="641"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40</w:t>
            </w:r>
          </w:p>
        </w:tc>
        <w:tc>
          <w:tcPr>
            <w:tcW w:w="640" w:type="dxa"/>
            <w:tcBorders>
              <w:left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40</w:t>
            </w:r>
          </w:p>
        </w:tc>
        <w:tc>
          <w:tcPr>
            <w:tcW w:w="884" w:type="dxa"/>
            <w:tcBorders>
              <w:left w:val="single" w:sz="8" w:space="0" w:color="73A5D8" w:themeColor="accent6"/>
            </w:tcBorders>
            <w:vAlign w:val="center"/>
          </w:tcPr>
          <w:p w:rsidR="00AA2975" w:rsidRPr="00AA2975" w:rsidRDefault="00AA2975" w:rsidP="00486A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2975">
              <w:rPr>
                <w:rFonts w:cstheme="minorHAnsi"/>
                <w:color w:val="000000"/>
              </w:rPr>
              <w:t>35</w:t>
            </w:r>
          </w:p>
        </w:tc>
      </w:tr>
      <w:tr w:rsidR="00AA2975" w:rsidTr="007C140E">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486A1E" w:rsidRDefault="00AA2975" w:rsidP="00486A1E">
            <w:pPr>
              <w:spacing w:before="60" w:after="60"/>
              <w:rPr>
                <w:rFonts w:cstheme="minorHAnsi"/>
                <w:b w:val="0"/>
                <w:color w:val="000000"/>
                <w:sz w:val="20"/>
              </w:rPr>
            </w:pPr>
            <w:r w:rsidRPr="00486A1E">
              <w:rPr>
                <w:rFonts w:cstheme="minorHAnsi"/>
                <w:b w:val="0"/>
                <w:color w:val="000000"/>
                <w:sz w:val="20"/>
              </w:rPr>
              <w:t>Unskilled</w:t>
            </w:r>
          </w:p>
        </w:tc>
        <w:tc>
          <w:tcPr>
            <w:tcW w:w="899" w:type="dxa"/>
            <w:tcBorders>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32</w:t>
            </w:r>
          </w:p>
        </w:tc>
        <w:tc>
          <w:tcPr>
            <w:tcW w:w="67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27</w:t>
            </w:r>
          </w:p>
        </w:tc>
        <w:tc>
          <w:tcPr>
            <w:tcW w:w="60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43</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942FE">
              <w:rPr>
                <w:rFonts w:cstheme="minorHAnsi"/>
                <w:i/>
                <w:color w:val="000000"/>
              </w:rPr>
              <w:t>20</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24</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26</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3942FE">
              <w:rPr>
                <w:rFonts w:cstheme="minorHAnsi"/>
                <w:b/>
                <w:color w:val="000000"/>
              </w:rPr>
              <w:t>49</w:t>
            </w:r>
          </w:p>
        </w:tc>
        <w:tc>
          <w:tcPr>
            <w:tcW w:w="641"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942FE">
              <w:rPr>
                <w:rFonts w:cstheme="minorHAnsi"/>
                <w:i/>
                <w:color w:val="000000"/>
              </w:rPr>
              <w:t>16</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3942FE"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942FE">
              <w:rPr>
                <w:rFonts w:cstheme="minorHAnsi"/>
                <w:i/>
                <w:color w:val="000000"/>
              </w:rPr>
              <w:t>12</w:t>
            </w:r>
          </w:p>
        </w:tc>
        <w:tc>
          <w:tcPr>
            <w:tcW w:w="884"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AA2975" w:rsidRPr="00AA2975" w:rsidRDefault="00AA2975" w:rsidP="00486A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2975">
              <w:rPr>
                <w:rFonts w:cstheme="minorHAnsi"/>
                <w:color w:val="000000"/>
              </w:rPr>
              <w:t>26</w:t>
            </w:r>
          </w:p>
        </w:tc>
      </w:tr>
      <w:tr w:rsidR="00AA2975" w:rsidRPr="003C0922"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A2975" w:rsidRPr="003C0922" w:rsidRDefault="00AA2975" w:rsidP="0001260C">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899" w:type="dxa"/>
            <w:tcBorders>
              <w:righ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785</w:t>
            </w:r>
          </w:p>
        </w:tc>
        <w:tc>
          <w:tcPr>
            <w:tcW w:w="677" w:type="dxa"/>
            <w:tcBorders>
              <w:left w:val="single" w:sz="8" w:space="0" w:color="73A5D8" w:themeColor="accent6"/>
              <w:righ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18</w:t>
            </w:r>
          </w:p>
        </w:tc>
        <w:tc>
          <w:tcPr>
            <w:tcW w:w="605" w:type="dxa"/>
            <w:tcBorders>
              <w:left w:val="single" w:sz="8" w:space="0" w:color="73A5D8" w:themeColor="accent6"/>
              <w:righ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10</w:t>
            </w:r>
          </w:p>
        </w:tc>
        <w:tc>
          <w:tcPr>
            <w:tcW w:w="657" w:type="dxa"/>
            <w:tcBorders>
              <w:left w:val="single" w:sz="8" w:space="0" w:color="73A5D8" w:themeColor="accent6"/>
              <w:righ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157</w:t>
            </w:r>
          </w:p>
        </w:tc>
        <w:tc>
          <w:tcPr>
            <w:tcW w:w="640" w:type="dxa"/>
            <w:tcBorders>
              <w:left w:val="single" w:sz="8" w:space="0" w:color="73A5D8" w:themeColor="accent6"/>
              <w:righ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42</w:t>
            </w:r>
          </w:p>
        </w:tc>
        <w:tc>
          <w:tcPr>
            <w:tcW w:w="645" w:type="dxa"/>
            <w:tcBorders>
              <w:lef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52</w:t>
            </w:r>
          </w:p>
        </w:tc>
        <w:tc>
          <w:tcPr>
            <w:tcW w:w="657" w:type="dxa"/>
            <w:tcBorders>
              <w:lef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253</w:t>
            </w:r>
          </w:p>
        </w:tc>
        <w:tc>
          <w:tcPr>
            <w:tcW w:w="641" w:type="dxa"/>
            <w:tcBorders>
              <w:lef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47</w:t>
            </w:r>
          </w:p>
        </w:tc>
        <w:tc>
          <w:tcPr>
            <w:tcW w:w="640" w:type="dxa"/>
            <w:tcBorders>
              <w:lef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31</w:t>
            </w:r>
          </w:p>
        </w:tc>
        <w:tc>
          <w:tcPr>
            <w:tcW w:w="884" w:type="dxa"/>
            <w:tcBorders>
              <w:left w:val="single" w:sz="8" w:space="0" w:color="73A5D8" w:themeColor="accent6"/>
            </w:tcBorders>
            <w:vAlign w:val="center"/>
          </w:tcPr>
          <w:p w:rsidR="00AA2975" w:rsidRPr="003C0922" w:rsidRDefault="00AA2975" w:rsidP="0001260C">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18"/>
              </w:rPr>
            </w:pPr>
            <w:r>
              <w:rPr>
                <w:rFonts w:cstheme="minorHAnsi"/>
                <w:i/>
                <w:color w:val="000000"/>
                <w:sz w:val="18"/>
              </w:rPr>
              <w:t>175</w:t>
            </w:r>
          </w:p>
        </w:tc>
      </w:tr>
    </w:tbl>
    <w:p w:rsidR="00AA2975" w:rsidRDefault="00AA2975" w:rsidP="00AA2975">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AA2975" w:rsidRDefault="00AA2975" w:rsidP="00310C0B">
      <w:pPr>
        <w:pStyle w:val="BodyText"/>
      </w:pPr>
    </w:p>
    <w:p w:rsidR="00AA2975" w:rsidRDefault="00766149" w:rsidP="00310C0B">
      <w:pPr>
        <w:pStyle w:val="BodyText"/>
      </w:pPr>
      <w:r>
        <w:t>Employers were asked if they had recruited any staff from so-called ‘disadvantaged’ groups in the last 12 months.  These groups include people at either end of the age spectrum i.e. the over 45s and under 19s; women returners, new entrants to the job market, including the long term unemployed, recent graduates and government supported trainees; people from ethnic minority groups or from outside the UK; ex-forces personnel; and people with disabilities.</w:t>
      </w:r>
    </w:p>
    <w:p w:rsidR="00766149" w:rsidRDefault="0041774C" w:rsidP="00310C0B">
      <w:pPr>
        <w:pStyle w:val="BodyText"/>
      </w:pPr>
      <w:r>
        <w:t>Employers that have recruited in the last 12 months are most likely to have recruited people aged 45+ (43%) and around a third have recruited people aged under 19 (35%), the longer term unemployed (31%) and/or women returning to work after a career break to have children (30%).</w:t>
      </w:r>
    </w:p>
    <w:p w:rsidR="0041774C" w:rsidRDefault="0041774C" w:rsidP="00310C0B">
      <w:pPr>
        <w:pStyle w:val="BodyText"/>
      </w:pPr>
      <w:r>
        <w:t>Overall, more than four-fifths of recent recruiters (83%) have recruited people from any of the groups mentioned.</w:t>
      </w:r>
    </w:p>
    <w:p w:rsidR="004A3520" w:rsidRDefault="004A3520" w:rsidP="004A3520">
      <w:pPr>
        <w:pStyle w:val="Caption"/>
      </w:pPr>
      <w:r>
        <w:lastRenderedPageBreak/>
        <w:t xml:space="preserve">Figure 7.5:  ‘Disadvantaged’ groups from which employers have recruited (where recruited in the last 12 months) </w:t>
      </w:r>
    </w:p>
    <w:p w:rsidR="004A3520" w:rsidRDefault="00417FB1" w:rsidP="004A3520">
      <w:pPr>
        <w:pStyle w:val="Caption"/>
      </w:pPr>
      <w:r w:rsidRPr="00417FB1">
        <w:rPr>
          <w:noProof/>
          <w:lang w:eastAsia="en-GB"/>
        </w:rPr>
        <w:drawing>
          <wp:inline distT="0" distB="0" distL="0" distR="0">
            <wp:extent cx="5391150" cy="3876675"/>
            <wp:effectExtent l="0" t="0" r="0" b="0"/>
            <wp:docPr id="3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3520" w:rsidRDefault="004A3520" w:rsidP="004A3520">
      <w:pPr>
        <w:pStyle w:val="BodyText"/>
        <w:rPr>
          <w:rFonts w:cs="Arial"/>
          <w:sz w:val="18"/>
        </w:rPr>
      </w:pPr>
      <w:r>
        <w:rPr>
          <w:rFonts w:cs="Arial"/>
          <w:sz w:val="18"/>
        </w:rPr>
        <w:t xml:space="preserve">Unweighted sample base = 785           </w:t>
      </w:r>
    </w:p>
    <w:p w:rsidR="004A3520" w:rsidRDefault="004A3520" w:rsidP="004A3520">
      <w:pPr>
        <w:pStyle w:val="BodyText"/>
        <w:rPr>
          <w:rFonts w:cs="Arial"/>
          <w:sz w:val="18"/>
        </w:rPr>
      </w:pPr>
      <w:r>
        <w:rPr>
          <w:rFonts w:cs="Arial"/>
          <w:sz w:val="18"/>
        </w:rPr>
        <w:t>QB10.  In the last 12 months, have you recruited any people from the following groups?</w:t>
      </w:r>
    </w:p>
    <w:p w:rsidR="0001260C" w:rsidRDefault="0001260C" w:rsidP="004A3520">
      <w:pPr>
        <w:pStyle w:val="BodyText"/>
        <w:rPr>
          <w:rFonts w:cs="Arial"/>
          <w:sz w:val="18"/>
        </w:rPr>
      </w:pPr>
    </w:p>
    <w:p w:rsidR="00310C0B" w:rsidRDefault="00310C0B" w:rsidP="00310C0B">
      <w:pPr>
        <w:pStyle w:val="Heading2"/>
      </w:pPr>
      <w:bookmarkStart w:id="58" w:name="_Toc394057549"/>
      <w:r>
        <w:t>Recruitment difficulties</w:t>
      </w:r>
      <w:bookmarkEnd w:id="58"/>
    </w:p>
    <w:p w:rsidR="008A5000" w:rsidRDefault="00320726" w:rsidP="00310C0B">
      <w:pPr>
        <w:pStyle w:val="BodyText"/>
      </w:pPr>
      <w:r>
        <w:t>Nearly one in four employers that have recruited</w:t>
      </w:r>
      <w:r w:rsidR="008A5000">
        <w:t xml:space="preserve"> (23%) report</w:t>
      </w:r>
      <w:r w:rsidR="00C7123A">
        <w:t>s</w:t>
      </w:r>
      <w:r w:rsidR="008A5000">
        <w:t xml:space="preserve"> some of the vacancies as being hard-to-fill.  This equates to 11% of all employers.  </w:t>
      </w:r>
    </w:p>
    <w:p w:rsidR="008A5000" w:rsidRDefault="008A5000" w:rsidP="00310C0B">
      <w:pPr>
        <w:pStyle w:val="BodyText"/>
      </w:pPr>
      <w:r>
        <w:t>By occupation, the posts that are most likely to have been hard-to-fill are professional (28% of employers that have tried to recruit into these positions) and managerial/directors/senior officials (23%).</w:t>
      </w:r>
    </w:p>
    <w:p w:rsidR="008A5000" w:rsidRDefault="008A5000" w:rsidP="008A5000">
      <w:pPr>
        <w:pStyle w:val="Caption"/>
      </w:pPr>
      <w:r>
        <w:lastRenderedPageBreak/>
        <w:t xml:space="preserve">Figure 7.6:  Proportion of employers that report hard-to-fill vacancies among posts they have tried to fill, by occupation of vacancies (where recruited into these occupations in the last 12 months) </w:t>
      </w:r>
    </w:p>
    <w:p w:rsidR="008A5000" w:rsidRDefault="00094827" w:rsidP="008A5000">
      <w:pPr>
        <w:pStyle w:val="Caption"/>
      </w:pPr>
      <w:r w:rsidRPr="00094827">
        <w:rPr>
          <w:noProof/>
          <w:lang w:eastAsia="en-GB"/>
        </w:rPr>
        <w:drawing>
          <wp:inline distT="0" distB="0" distL="0" distR="0">
            <wp:extent cx="5829300" cy="382905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A5000" w:rsidRDefault="008A5000" w:rsidP="008A5000">
      <w:pPr>
        <w:pStyle w:val="BodyText"/>
        <w:rPr>
          <w:rFonts w:cs="Arial"/>
          <w:sz w:val="18"/>
        </w:rPr>
      </w:pPr>
      <w:r>
        <w:rPr>
          <w:rFonts w:cs="Arial"/>
          <w:sz w:val="18"/>
        </w:rPr>
        <w:t xml:space="preserve">Unweighted sample bases in parentheses           </w:t>
      </w:r>
    </w:p>
    <w:p w:rsidR="008A5000" w:rsidRDefault="008A5000" w:rsidP="008A5000">
      <w:pPr>
        <w:pStyle w:val="BodyText"/>
        <w:rPr>
          <w:rFonts w:cs="Arial"/>
          <w:sz w:val="18"/>
        </w:rPr>
      </w:pPr>
      <w:r>
        <w:rPr>
          <w:rFonts w:cs="Arial"/>
          <w:sz w:val="18"/>
        </w:rPr>
        <w:t>QB7.  Were any of these posts hard-to-fill?</w:t>
      </w:r>
    </w:p>
    <w:p w:rsidR="008A5000" w:rsidRDefault="008A5000" w:rsidP="00310C0B">
      <w:pPr>
        <w:pStyle w:val="BodyText"/>
      </w:pPr>
    </w:p>
    <w:p w:rsidR="007D41CF" w:rsidRDefault="00197A7E" w:rsidP="00310C0B">
      <w:pPr>
        <w:pStyle w:val="BodyText"/>
      </w:pPr>
      <w:r>
        <w:t>Lack of skills, experience and qualifications predominate as reasons for vacancies being hard-to-fill</w:t>
      </w:r>
      <w:r w:rsidR="00DD1FE9">
        <w:t>; a</w:t>
      </w:r>
      <w:r>
        <w:t>pplicants not having the required working experience/job specific skills (39%) and/or the required qualifications/skills (37%)</w:t>
      </w:r>
      <w:r w:rsidR="007D41CF">
        <w:t>.</w:t>
      </w:r>
    </w:p>
    <w:p w:rsidR="00310C0B" w:rsidRDefault="007D41CF" w:rsidP="00310C0B">
      <w:pPr>
        <w:pStyle w:val="BodyText"/>
      </w:pPr>
      <w:r>
        <w:t>Around one in four employers that have had hard-to-fill vacancies (23%) have experienced a general lack of applicants.  One in eight (12%) have received applications from applicants with poor motivation/attitude.</w:t>
      </w:r>
      <w:r w:rsidR="00197A7E">
        <w:t xml:space="preserve"> </w:t>
      </w:r>
      <w:r>
        <w:t xml:space="preserve"> </w:t>
      </w:r>
    </w:p>
    <w:p w:rsidR="007D41CF" w:rsidRDefault="007D41CF" w:rsidP="007D41CF">
      <w:pPr>
        <w:pStyle w:val="Caption"/>
      </w:pPr>
      <w:r>
        <w:lastRenderedPageBreak/>
        <w:t xml:space="preserve">Figure 7.7:  Reasons for recruitment difficulties </w:t>
      </w:r>
      <w:r w:rsidR="00395270">
        <w:t xml:space="preserve">– unprompted, multiple response </w:t>
      </w:r>
      <w:r>
        <w:t xml:space="preserve">(where have had hard-to-fill vacancies) </w:t>
      </w:r>
    </w:p>
    <w:p w:rsidR="007D41CF" w:rsidRDefault="007D41CF" w:rsidP="007D41CF">
      <w:pPr>
        <w:pStyle w:val="Caption"/>
      </w:pPr>
      <w:r w:rsidRPr="007D41CF">
        <w:rPr>
          <w:noProof/>
          <w:lang w:eastAsia="en-GB"/>
        </w:rPr>
        <w:drawing>
          <wp:inline distT="0" distB="0" distL="0" distR="0">
            <wp:extent cx="5743575" cy="6600825"/>
            <wp:effectExtent l="0" t="0" r="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41CF" w:rsidRDefault="007D41CF" w:rsidP="007D41CF">
      <w:pPr>
        <w:pStyle w:val="BodyText"/>
        <w:rPr>
          <w:rFonts w:cs="Arial"/>
          <w:sz w:val="18"/>
        </w:rPr>
      </w:pPr>
      <w:r>
        <w:rPr>
          <w:rFonts w:cs="Arial"/>
          <w:sz w:val="18"/>
        </w:rPr>
        <w:t xml:space="preserve">Unweighted sample </w:t>
      </w:r>
      <w:r w:rsidR="00395270">
        <w:rPr>
          <w:rFonts w:cs="Arial"/>
          <w:sz w:val="18"/>
        </w:rPr>
        <w:t>base = 187</w:t>
      </w:r>
      <w:r>
        <w:rPr>
          <w:rFonts w:cs="Arial"/>
          <w:sz w:val="18"/>
        </w:rPr>
        <w:t xml:space="preserve">           </w:t>
      </w:r>
    </w:p>
    <w:p w:rsidR="007D41CF" w:rsidRDefault="007D41CF" w:rsidP="007D41CF">
      <w:pPr>
        <w:pStyle w:val="BodyText"/>
        <w:rPr>
          <w:rFonts w:cs="Arial"/>
          <w:sz w:val="18"/>
        </w:rPr>
      </w:pPr>
      <w:r>
        <w:rPr>
          <w:rFonts w:cs="Arial"/>
          <w:sz w:val="18"/>
        </w:rPr>
        <w:t>QB8.  What are the main reasons for these difficulties?  These could be people, skills or job-related</w:t>
      </w:r>
    </w:p>
    <w:p w:rsidR="007D41CF" w:rsidRPr="00310C0B" w:rsidRDefault="007D41CF" w:rsidP="00310C0B">
      <w:pPr>
        <w:pStyle w:val="BodyText"/>
      </w:pPr>
    </w:p>
    <w:p w:rsidR="00310C0B" w:rsidRDefault="00310C0B" w:rsidP="00310C0B">
      <w:pPr>
        <w:pStyle w:val="Heading1"/>
      </w:pPr>
      <w:bookmarkStart w:id="59" w:name="_Toc394057550"/>
      <w:r>
        <w:lastRenderedPageBreak/>
        <w:t>Skill Gaps and Skill Development</w:t>
      </w:r>
      <w:bookmarkEnd w:id="59"/>
    </w:p>
    <w:p w:rsidR="00651896" w:rsidRDefault="00651896" w:rsidP="00651896"/>
    <w:p w:rsidR="00310C0B" w:rsidRDefault="00310C0B" w:rsidP="00310C0B">
      <w:pPr>
        <w:pStyle w:val="Heading2"/>
      </w:pPr>
      <w:bookmarkStart w:id="60" w:name="_Toc394057551"/>
      <w:r>
        <w:t>Key findings</w:t>
      </w:r>
      <w:bookmarkEnd w:id="60"/>
    </w:p>
    <w:p w:rsidR="00310C0B" w:rsidRDefault="00AB73BE" w:rsidP="00310C0B">
      <w:pPr>
        <w:pStyle w:val="BodyText"/>
      </w:pPr>
      <w:r>
        <w:t>Across Greater Lincolnshire, employers estimate that 6% of their workforce has no qualifications, while 18% have level 4 equivalent qualifications or above.</w:t>
      </w:r>
    </w:p>
    <w:p w:rsidR="00AB73BE" w:rsidRDefault="00AB73BE" w:rsidP="00310C0B">
      <w:pPr>
        <w:pStyle w:val="BodyText"/>
      </w:pPr>
      <w:r>
        <w:t>One in six employers (17%) highlight skill deficiencies among their workforce.  As a proportion of all employees, this is estimated to involve 5% of the workforce.</w:t>
      </w:r>
    </w:p>
    <w:p w:rsidR="00AB73BE" w:rsidRDefault="008D0378" w:rsidP="00310C0B">
      <w:pPr>
        <w:pStyle w:val="BodyText"/>
      </w:pPr>
      <w:r>
        <w:t>One in ten employers (10%) reported a significant gap between the type of skills that current employees have now and those that they need to meet their current business objectives.</w:t>
      </w:r>
    </w:p>
    <w:p w:rsidR="008D0378" w:rsidRDefault="008D0378" w:rsidP="00310C0B">
      <w:pPr>
        <w:pStyle w:val="BodyText"/>
      </w:pPr>
      <w:r>
        <w:t>One in seven employers (15%) anticipate</w:t>
      </w:r>
      <w:r w:rsidR="00755FA2">
        <w:t>s</w:t>
      </w:r>
      <w:r>
        <w:t xml:space="preserve"> a significant gap within their workforce in meeting future objectives.</w:t>
      </w:r>
    </w:p>
    <w:p w:rsidR="008D0378" w:rsidRDefault="00686250" w:rsidP="00310C0B">
      <w:pPr>
        <w:pStyle w:val="BodyText"/>
      </w:pPr>
      <w:r>
        <w:t xml:space="preserve">Employers are most likely to mention technical, practical or job specific skills as those that need improving to meet their business objectives (71%).  </w:t>
      </w:r>
    </w:p>
    <w:p w:rsidR="00686250" w:rsidRDefault="00686250" w:rsidP="00310C0B">
      <w:pPr>
        <w:pStyle w:val="BodyText"/>
      </w:pPr>
      <w:r>
        <w:t xml:space="preserve">Half the employers in Greater Lincolnshire (50%) have a training plan or budget. </w:t>
      </w:r>
    </w:p>
    <w:p w:rsidR="00686250" w:rsidRDefault="00686250" w:rsidP="00310C0B">
      <w:pPr>
        <w:pStyle w:val="BodyText"/>
      </w:pPr>
      <w:r>
        <w:t xml:space="preserve">Nearly half the employers (48%) have funded or arranged off the job training in the last 12 months for any employees.  A slightly higher proportion (51%) have funded or arranged on the job training in that time.  </w:t>
      </w:r>
    </w:p>
    <w:p w:rsidR="00686250" w:rsidRDefault="00686250" w:rsidP="00310C0B">
      <w:pPr>
        <w:pStyle w:val="BodyText"/>
      </w:pPr>
      <w:r>
        <w:t xml:space="preserve">Overall, 64% of Greater Lincolnshire employers have funded or arranged any training in the last 12 months.   </w:t>
      </w:r>
    </w:p>
    <w:p w:rsidR="00686250" w:rsidRDefault="00686250" w:rsidP="00310C0B">
      <w:pPr>
        <w:pStyle w:val="BodyText"/>
      </w:pPr>
      <w:r>
        <w:t>Business size is the key determinant of the propensity to train.</w:t>
      </w:r>
    </w:p>
    <w:p w:rsidR="00686250" w:rsidRDefault="00686250" w:rsidP="00310C0B">
      <w:pPr>
        <w:pStyle w:val="BodyText"/>
      </w:pPr>
      <w:r>
        <w:t>Training is mainly delivered by private training providers, with around one in four employers that have delivered training using public sector educational FE/HE institutions in the area.</w:t>
      </w:r>
    </w:p>
    <w:p w:rsidR="00686250" w:rsidRDefault="00686250" w:rsidP="00310C0B">
      <w:pPr>
        <w:pStyle w:val="BodyText"/>
      </w:pPr>
      <w:r>
        <w:t>Two-third of employers that have delivered training (68%) formally assess whether any training and development has had an impact on an employee’s performance.  This is more common where off the job training has been undertaken.</w:t>
      </w:r>
    </w:p>
    <w:p w:rsidR="00686250" w:rsidRDefault="00E3671E" w:rsidP="00310C0B">
      <w:pPr>
        <w:pStyle w:val="BodyText"/>
      </w:pPr>
      <w:r>
        <w:t>Training delivery can be limited by the capacity of the business to release employees for training and to cost.  However, more than half of employers have had no difficulty in finding suitable training.</w:t>
      </w:r>
    </w:p>
    <w:p w:rsidR="00310C0B" w:rsidRDefault="00310C0B" w:rsidP="00310C0B">
      <w:pPr>
        <w:pStyle w:val="Heading2"/>
      </w:pPr>
      <w:bookmarkStart w:id="61" w:name="_Toc394057552"/>
      <w:r>
        <w:t>Current skill levels</w:t>
      </w:r>
      <w:bookmarkEnd w:id="61"/>
    </w:p>
    <w:p w:rsidR="00310C0B" w:rsidRDefault="00E3671E" w:rsidP="00310C0B">
      <w:pPr>
        <w:pStyle w:val="BodyText"/>
      </w:pPr>
      <w:r>
        <w:t>Employers</w:t>
      </w:r>
      <w:r w:rsidR="0047749B">
        <w:t xml:space="preserve"> were asked about the qualifications levels of their workforce.  They were asked to estimate the percentage of their workforce with no qualifications or with highest qualifications at NVQ equivalence levels 1 to 4.</w:t>
      </w:r>
    </w:p>
    <w:p w:rsidR="0047749B" w:rsidRDefault="0047749B" w:rsidP="00310C0B">
      <w:pPr>
        <w:pStyle w:val="BodyText"/>
      </w:pPr>
      <w:r>
        <w:t>Across Greater L</w:t>
      </w:r>
      <w:r w:rsidR="00AB73BE">
        <w:t>incolnshire, employers estimate</w:t>
      </w:r>
      <w:r>
        <w:t xml:space="preserve"> that 6% of their workforce has no qualifications, while 18% have</w:t>
      </w:r>
      <w:r w:rsidR="00AB73BE">
        <w:t xml:space="preserve"> at least</w:t>
      </w:r>
      <w:r>
        <w:t xml:space="preserve"> level 4 equivalent qualifications.</w:t>
      </w:r>
    </w:p>
    <w:p w:rsidR="0047749B" w:rsidRDefault="0047749B" w:rsidP="00310C0B">
      <w:pPr>
        <w:pStyle w:val="BodyText"/>
      </w:pPr>
      <w:r>
        <w:t>A significantly higher than average proportion of the workforce in North Lincolnshire (12%) and West Lindsey (12%) are unqualified.  By sector, the proportion is significantly higher</w:t>
      </w:r>
      <w:r w:rsidR="00BB71E4">
        <w:t xml:space="preserve"> than average</w:t>
      </w:r>
      <w:r>
        <w:t xml:space="preserve"> in manufacturing (13%).</w:t>
      </w:r>
      <w:r w:rsidR="00BB71E4">
        <w:t xml:space="preserve">  It is significantly higher in organisations that identify skill gaps than those that do not (13%, compared with 5%), suggesting that a lack of </w:t>
      </w:r>
      <w:r w:rsidR="00BB71E4">
        <w:lastRenderedPageBreak/>
        <w:t xml:space="preserve">qualifications within the workforce could be undesirable, although it is likely that it is not  a problem in some low/un-skilled occupations. </w:t>
      </w:r>
    </w:p>
    <w:p w:rsidR="00BB71E4" w:rsidRDefault="00BC4B5C" w:rsidP="00310C0B">
      <w:pPr>
        <w:pStyle w:val="BodyText"/>
      </w:pPr>
      <w:r>
        <w:t>The table below compares the qualifications pro</w:t>
      </w:r>
      <w:r w:rsidR="00574D0A">
        <w:t xml:space="preserve">file of the workforce by sector.  </w:t>
      </w:r>
      <w:r w:rsidR="00C23716">
        <w:t xml:space="preserve"> It highlights higher levels of qualifications amongst the workforce in service sectors, particularly within public administration/education/health, where more than half the workforce is qualified to level 3 and 4 and a predominance of level 2 within utilities and manufacturing.  Within construction, three-fifths of the workforce is qualified to level 2/3.</w:t>
      </w:r>
    </w:p>
    <w:p w:rsidR="00BC4B5C" w:rsidRDefault="00BC4B5C" w:rsidP="00BC4B5C">
      <w:pPr>
        <w:pStyle w:val="Caption"/>
      </w:pPr>
      <w:r>
        <w:t>Table 8.1: Breakdown of the workforce by highest qualification (All employees – where employers have provided a response)</w:t>
      </w:r>
    </w:p>
    <w:tbl>
      <w:tblPr>
        <w:tblStyle w:val="LightList-Accent6"/>
        <w:tblW w:w="9923" w:type="dxa"/>
        <w:tblInd w:w="108" w:type="dxa"/>
        <w:tblLook w:val="04A0" w:firstRow="1" w:lastRow="0" w:firstColumn="1" w:lastColumn="0" w:noHBand="0" w:noVBand="1"/>
      </w:tblPr>
      <w:tblGrid>
        <w:gridCol w:w="2977"/>
        <w:gridCol w:w="899"/>
        <w:gridCol w:w="677"/>
        <w:gridCol w:w="605"/>
        <w:gridCol w:w="657"/>
        <w:gridCol w:w="640"/>
        <w:gridCol w:w="645"/>
        <w:gridCol w:w="657"/>
        <w:gridCol w:w="641"/>
        <w:gridCol w:w="640"/>
        <w:gridCol w:w="885"/>
      </w:tblGrid>
      <w:tr w:rsidR="007C140E" w:rsidRPr="003C0922" w:rsidTr="007C140E">
        <w:trPr>
          <w:cnfStyle w:val="100000000000" w:firstRow="1" w:lastRow="0" w:firstColumn="0" w:lastColumn="0" w:oddVBand="0" w:evenVBand="0" w:oddHBand="0" w:evenHBand="0" w:firstRowFirstColumn="0" w:firstRowLastColumn="0" w:lastRowFirstColumn="0" w:lastRowLastColumn="0"/>
          <w:cantSplit/>
          <w:trHeight w:val="2489"/>
        </w:trPr>
        <w:tc>
          <w:tcPr>
            <w:cnfStyle w:val="001000000000" w:firstRow="0" w:lastRow="0" w:firstColumn="1" w:lastColumn="0" w:oddVBand="0" w:evenVBand="0" w:oddHBand="0" w:evenHBand="0" w:firstRowFirstColumn="0" w:firstRowLastColumn="0" w:lastRowFirstColumn="0" w:lastRowLastColumn="0"/>
            <w:tcW w:w="2977" w:type="dxa"/>
            <w:vAlign w:val="bottom"/>
          </w:tcPr>
          <w:p w:rsidR="007C140E" w:rsidRPr="003C0922" w:rsidRDefault="007C140E" w:rsidP="00BC4B5C">
            <w:pPr>
              <w:spacing w:before="60" w:after="60"/>
              <w:rPr>
                <w:rFonts w:cstheme="minorHAnsi"/>
                <w:b w:val="0"/>
                <w:sz w:val="20"/>
              </w:rPr>
            </w:pPr>
            <w:r>
              <w:rPr>
                <w:rFonts w:cstheme="minorHAnsi"/>
                <w:b w:val="0"/>
                <w:sz w:val="20"/>
              </w:rPr>
              <w:t>Column percentages</w:t>
            </w:r>
          </w:p>
        </w:tc>
        <w:tc>
          <w:tcPr>
            <w:tcW w:w="899" w:type="dxa"/>
            <w:textDirection w:val="tbRl"/>
            <w:vAlign w:val="center"/>
          </w:tcPr>
          <w:p w:rsidR="007C140E" w:rsidRPr="008D0378" w:rsidRDefault="007C140E" w:rsidP="00BC4B5C">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8D0378">
              <w:rPr>
                <w:rFonts w:cstheme="minorHAnsi"/>
              </w:rPr>
              <w:t>Greater Lincolnshire</w:t>
            </w:r>
          </w:p>
        </w:tc>
        <w:tc>
          <w:tcPr>
            <w:tcW w:w="67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60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6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64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64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6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641"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64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88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BC4B5C" w:rsidTr="007C140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977" w:type="dxa"/>
            <w:vAlign w:val="bottom"/>
          </w:tcPr>
          <w:p w:rsidR="00BC4B5C" w:rsidRPr="00BC4B5C" w:rsidRDefault="00BC4B5C" w:rsidP="008D0378">
            <w:pPr>
              <w:spacing w:before="60" w:after="60"/>
              <w:rPr>
                <w:rFonts w:cstheme="minorHAnsi"/>
                <w:b w:val="0"/>
                <w:color w:val="000000"/>
                <w:sz w:val="20"/>
              </w:rPr>
            </w:pPr>
            <w:r w:rsidRPr="00BC4B5C">
              <w:rPr>
                <w:rFonts w:cstheme="minorHAnsi"/>
                <w:b w:val="0"/>
                <w:color w:val="000000"/>
                <w:sz w:val="20"/>
              </w:rPr>
              <w:t>Level 1 qualifications such as an NVQ Level 1 or BTEC  Introductory Diploma</w:t>
            </w:r>
          </w:p>
        </w:tc>
        <w:tc>
          <w:tcPr>
            <w:tcW w:w="899" w:type="dxa"/>
            <w:tcBorders>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5</w:t>
            </w:r>
          </w:p>
        </w:tc>
        <w:tc>
          <w:tcPr>
            <w:tcW w:w="677"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2</w:t>
            </w:r>
          </w:p>
        </w:tc>
        <w:tc>
          <w:tcPr>
            <w:tcW w:w="60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39</w:t>
            </w:r>
          </w:p>
        </w:tc>
        <w:tc>
          <w:tcPr>
            <w:tcW w:w="65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7</w:t>
            </w:r>
          </w:p>
        </w:tc>
        <w:tc>
          <w:tcPr>
            <w:tcW w:w="640"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2</w:t>
            </w:r>
          </w:p>
        </w:tc>
        <w:tc>
          <w:tcPr>
            <w:tcW w:w="645"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5</w:t>
            </w:r>
          </w:p>
        </w:tc>
        <w:tc>
          <w:tcPr>
            <w:tcW w:w="657"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5</w:t>
            </w:r>
          </w:p>
        </w:tc>
        <w:tc>
          <w:tcPr>
            <w:tcW w:w="641"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8</w:t>
            </w:r>
          </w:p>
        </w:tc>
        <w:tc>
          <w:tcPr>
            <w:tcW w:w="640"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5</w:t>
            </w:r>
          </w:p>
        </w:tc>
        <w:tc>
          <w:tcPr>
            <w:tcW w:w="885" w:type="dxa"/>
            <w:tcBorders>
              <w:lef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3</w:t>
            </w:r>
          </w:p>
        </w:tc>
      </w:tr>
      <w:tr w:rsidR="00BC4B5C" w:rsidTr="007C140E">
        <w:tc>
          <w:tcPr>
            <w:cnfStyle w:val="001000000000" w:firstRow="0" w:lastRow="0" w:firstColumn="1" w:lastColumn="0" w:oddVBand="0" w:evenVBand="0" w:oddHBand="0" w:evenHBand="0" w:firstRowFirstColumn="0" w:firstRowLastColumn="0" w:lastRowFirstColumn="0" w:lastRowLastColumn="0"/>
            <w:tcW w:w="2977" w:type="dxa"/>
            <w:vAlign w:val="bottom"/>
          </w:tcPr>
          <w:p w:rsidR="00BC4B5C" w:rsidRPr="00BC4B5C" w:rsidRDefault="00BC4B5C" w:rsidP="008D0378">
            <w:pPr>
              <w:spacing w:before="60" w:after="60"/>
              <w:rPr>
                <w:rFonts w:cstheme="minorHAnsi"/>
                <w:b w:val="0"/>
                <w:color w:val="000000"/>
                <w:sz w:val="20"/>
              </w:rPr>
            </w:pPr>
            <w:r w:rsidRPr="00BC4B5C">
              <w:rPr>
                <w:rFonts w:cstheme="minorHAnsi"/>
                <w:b w:val="0"/>
                <w:color w:val="000000"/>
                <w:sz w:val="20"/>
              </w:rPr>
              <w:t>Level 2 qualifications such as an NVQ Level 2, GCSEs or BTEC First Diploma</w:t>
            </w:r>
          </w:p>
        </w:tc>
        <w:tc>
          <w:tcPr>
            <w:tcW w:w="899" w:type="dxa"/>
            <w:tcBorders>
              <w:right w:val="single" w:sz="8" w:space="0" w:color="73A5D8" w:themeColor="accent6"/>
            </w:tcBorders>
            <w:vAlign w:val="center"/>
          </w:tcPr>
          <w:p w:rsidR="00BC4B5C" w:rsidRPr="00BC4B5C"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4B5C">
              <w:rPr>
                <w:rFonts w:cstheme="minorHAnsi"/>
                <w:color w:val="000000"/>
              </w:rPr>
              <w:t>26</w:t>
            </w:r>
          </w:p>
        </w:tc>
        <w:tc>
          <w:tcPr>
            <w:tcW w:w="67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12</w:t>
            </w:r>
          </w:p>
        </w:tc>
        <w:tc>
          <w:tcPr>
            <w:tcW w:w="60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41</w:t>
            </w:r>
          </w:p>
        </w:tc>
        <w:tc>
          <w:tcPr>
            <w:tcW w:w="65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20</w:t>
            </w:r>
          </w:p>
        </w:tc>
        <w:tc>
          <w:tcPr>
            <w:tcW w:w="640"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39</w:t>
            </w:r>
          </w:p>
        </w:tc>
        <w:tc>
          <w:tcPr>
            <w:tcW w:w="64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31</w:t>
            </w:r>
          </w:p>
        </w:tc>
        <w:tc>
          <w:tcPr>
            <w:tcW w:w="657"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4B5C">
              <w:rPr>
                <w:rFonts w:cstheme="minorHAnsi"/>
                <w:color w:val="000000"/>
              </w:rPr>
              <w:t>26</w:t>
            </w:r>
          </w:p>
        </w:tc>
        <w:tc>
          <w:tcPr>
            <w:tcW w:w="641"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20</w:t>
            </w:r>
          </w:p>
        </w:tc>
        <w:tc>
          <w:tcPr>
            <w:tcW w:w="640"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4B5C">
              <w:rPr>
                <w:rFonts w:cstheme="minorHAnsi"/>
                <w:color w:val="000000"/>
              </w:rPr>
              <w:t>27</w:t>
            </w:r>
          </w:p>
        </w:tc>
        <w:tc>
          <w:tcPr>
            <w:tcW w:w="885" w:type="dxa"/>
            <w:tcBorders>
              <w:left w:val="single" w:sz="8" w:space="0" w:color="73A5D8" w:themeColor="accent6"/>
            </w:tcBorders>
            <w:vAlign w:val="center"/>
          </w:tcPr>
          <w:p w:rsidR="00BC4B5C" w:rsidRPr="00BC4B5C"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4B5C">
              <w:rPr>
                <w:rFonts w:cstheme="minorHAnsi"/>
                <w:color w:val="000000"/>
              </w:rPr>
              <w:t>27</w:t>
            </w:r>
          </w:p>
        </w:tc>
      </w:tr>
      <w:tr w:rsidR="00BC4B5C"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bottom"/>
          </w:tcPr>
          <w:p w:rsidR="00BC4B5C" w:rsidRPr="00BC4B5C" w:rsidRDefault="00BC4B5C" w:rsidP="008D0378">
            <w:pPr>
              <w:spacing w:before="60" w:after="60"/>
              <w:rPr>
                <w:rFonts w:cstheme="minorHAnsi"/>
                <w:b w:val="0"/>
                <w:color w:val="000000"/>
                <w:sz w:val="20"/>
              </w:rPr>
            </w:pPr>
            <w:r w:rsidRPr="00BC4B5C">
              <w:rPr>
                <w:rFonts w:cstheme="minorHAnsi"/>
                <w:b w:val="0"/>
                <w:color w:val="000000"/>
                <w:sz w:val="20"/>
              </w:rPr>
              <w:t>Level 3 qualifications such as an NVQ Level 3, A-Levels or BTEC Nationals</w:t>
            </w:r>
          </w:p>
        </w:tc>
        <w:tc>
          <w:tcPr>
            <w:tcW w:w="899" w:type="dxa"/>
            <w:tcBorders>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22</w:t>
            </w:r>
          </w:p>
        </w:tc>
        <w:tc>
          <w:tcPr>
            <w:tcW w:w="67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8</w:t>
            </w:r>
          </w:p>
        </w:tc>
        <w:tc>
          <w:tcPr>
            <w:tcW w:w="60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10</w:t>
            </w:r>
          </w:p>
        </w:tc>
        <w:tc>
          <w:tcPr>
            <w:tcW w:w="65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28</w:t>
            </w:r>
          </w:p>
        </w:tc>
        <w:tc>
          <w:tcPr>
            <w:tcW w:w="640"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24</w:t>
            </w:r>
          </w:p>
        </w:tc>
        <w:tc>
          <w:tcPr>
            <w:tcW w:w="64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29</w:t>
            </w:r>
          </w:p>
        </w:tc>
        <w:tc>
          <w:tcPr>
            <w:tcW w:w="65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17</w:t>
            </w:r>
          </w:p>
        </w:tc>
        <w:tc>
          <w:tcPr>
            <w:tcW w:w="641"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14</w:t>
            </w:r>
          </w:p>
        </w:tc>
        <w:tc>
          <w:tcPr>
            <w:tcW w:w="640"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27</w:t>
            </w:r>
          </w:p>
        </w:tc>
        <w:tc>
          <w:tcPr>
            <w:tcW w:w="885" w:type="dxa"/>
            <w:tcBorders>
              <w:lef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29</w:t>
            </w:r>
          </w:p>
        </w:tc>
      </w:tr>
      <w:tr w:rsidR="00BC4B5C" w:rsidTr="007C140E">
        <w:tc>
          <w:tcPr>
            <w:cnfStyle w:val="001000000000" w:firstRow="0" w:lastRow="0" w:firstColumn="1" w:lastColumn="0" w:oddVBand="0" w:evenVBand="0" w:oddHBand="0" w:evenHBand="0" w:firstRowFirstColumn="0" w:firstRowLastColumn="0" w:lastRowFirstColumn="0" w:lastRowLastColumn="0"/>
            <w:tcW w:w="2977" w:type="dxa"/>
            <w:vAlign w:val="bottom"/>
          </w:tcPr>
          <w:p w:rsidR="00BC4B5C" w:rsidRPr="00BC4B5C" w:rsidRDefault="00BC4B5C" w:rsidP="008D0378">
            <w:pPr>
              <w:spacing w:before="60" w:after="60"/>
              <w:rPr>
                <w:rFonts w:cstheme="minorHAnsi"/>
                <w:b w:val="0"/>
                <w:color w:val="000000"/>
                <w:sz w:val="20"/>
              </w:rPr>
            </w:pPr>
            <w:r w:rsidRPr="00BC4B5C">
              <w:rPr>
                <w:rFonts w:cstheme="minorHAnsi"/>
                <w:b w:val="0"/>
                <w:color w:val="000000"/>
                <w:sz w:val="20"/>
              </w:rPr>
              <w:t>Level 4 qualifications or above such as degrees, HNC/HNDs, postgraduate degrees or high level specialist professional qualifications</w:t>
            </w:r>
          </w:p>
        </w:tc>
        <w:tc>
          <w:tcPr>
            <w:tcW w:w="899" w:type="dxa"/>
            <w:tcBorders>
              <w:right w:val="single" w:sz="8" w:space="0" w:color="73A5D8" w:themeColor="accent6"/>
            </w:tcBorders>
            <w:vAlign w:val="center"/>
          </w:tcPr>
          <w:p w:rsidR="00BC4B5C" w:rsidRPr="00BC4B5C"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4B5C">
              <w:rPr>
                <w:rFonts w:cstheme="minorHAnsi"/>
                <w:color w:val="000000"/>
              </w:rPr>
              <w:t>18</w:t>
            </w:r>
          </w:p>
        </w:tc>
        <w:tc>
          <w:tcPr>
            <w:tcW w:w="67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6</w:t>
            </w:r>
          </w:p>
        </w:tc>
        <w:tc>
          <w:tcPr>
            <w:tcW w:w="60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6</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22</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13</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4B5C">
              <w:rPr>
                <w:rFonts w:cstheme="minorHAnsi"/>
                <w:color w:val="000000"/>
              </w:rPr>
              <w:t>19</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74D0A">
              <w:rPr>
                <w:rFonts w:cstheme="minorHAnsi"/>
                <w:i/>
                <w:color w:val="000000"/>
              </w:rPr>
              <w:t>11</w:t>
            </w:r>
          </w:p>
        </w:tc>
        <w:tc>
          <w:tcPr>
            <w:tcW w:w="641"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23</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22</w:t>
            </w:r>
          </w:p>
        </w:tc>
        <w:tc>
          <w:tcPr>
            <w:tcW w:w="88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74D0A">
              <w:rPr>
                <w:rFonts w:cstheme="minorHAnsi"/>
                <w:b/>
                <w:color w:val="000000"/>
              </w:rPr>
              <w:t>28</w:t>
            </w:r>
          </w:p>
        </w:tc>
      </w:tr>
      <w:tr w:rsidR="00BC4B5C"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bottom"/>
          </w:tcPr>
          <w:p w:rsidR="00BC4B5C" w:rsidRPr="00BC4B5C" w:rsidRDefault="00BC4B5C" w:rsidP="008D0378">
            <w:pPr>
              <w:spacing w:before="60" w:after="60"/>
              <w:rPr>
                <w:rFonts w:cstheme="minorHAnsi"/>
                <w:b w:val="0"/>
                <w:color w:val="000000"/>
                <w:sz w:val="20"/>
              </w:rPr>
            </w:pPr>
            <w:r w:rsidRPr="00BC4B5C">
              <w:rPr>
                <w:rFonts w:cstheme="minorHAnsi"/>
                <w:b w:val="0"/>
                <w:color w:val="000000"/>
                <w:sz w:val="20"/>
              </w:rPr>
              <w:t>No qualifications</w:t>
            </w:r>
          </w:p>
        </w:tc>
        <w:tc>
          <w:tcPr>
            <w:tcW w:w="899" w:type="dxa"/>
            <w:tcBorders>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6</w:t>
            </w:r>
          </w:p>
        </w:tc>
        <w:tc>
          <w:tcPr>
            <w:tcW w:w="677"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7</w:t>
            </w:r>
          </w:p>
        </w:tc>
        <w:tc>
          <w:tcPr>
            <w:tcW w:w="60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3</w:t>
            </w:r>
          </w:p>
        </w:tc>
        <w:tc>
          <w:tcPr>
            <w:tcW w:w="657"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4</w:t>
            </w:r>
          </w:p>
        </w:tc>
        <w:tc>
          <w:tcPr>
            <w:tcW w:w="640"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13</w:t>
            </w:r>
          </w:p>
        </w:tc>
        <w:tc>
          <w:tcPr>
            <w:tcW w:w="645"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8</w:t>
            </w:r>
          </w:p>
        </w:tc>
        <w:tc>
          <w:tcPr>
            <w:tcW w:w="657"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74D0A">
              <w:rPr>
                <w:rFonts w:cstheme="minorHAnsi"/>
                <w:b/>
                <w:color w:val="000000"/>
              </w:rPr>
              <w:t>8</w:t>
            </w:r>
          </w:p>
        </w:tc>
        <w:tc>
          <w:tcPr>
            <w:tcW w:w="641" w:type="dxa"/>
            <w:tcBorders>
              <w:left w:val="single" w:sz="8" w:space="0" w:color="73A5D8" w:themeColor="accent6"/>
              <w:right w:val="single" w:sz="8" w:space="0" w:color="73A5D8" w:themeColor="accent6"/>
            </w:tcBorders>
            <w:vAlign w:val="center"/>
          </w:tcPr>
          <w:p w:rsidR="00BC4B5C" w:rsidRPr="00BC4B5C"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4B5C">
              <w:rPr>
                <w:rFonts w:cstheme="minorHAnsi"/>
                <w:color w:val="000000"/>
              </w:rPr>
              <w:t>6</w:t>
            </w:r>
          </w:p>
        </w:tc>
        <w:tc>
          <w:tcPr>
            <w:tcW w:w="640" w:type="dxa"/>
            <w:tcBorders>
              <w:left w:val="single" w:sz="8" w:space="0" w:color="73A5D8" w:themeColor="accent6"/>
              <w:righ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4</w:t>
            </w:r>
          </w:p>
        </w:tc>
        <w:tc>
          <w:tcPr>
            <w:tcW w:w="885" w:type="dxa"/>
            <w:tcBorders>
              <w:left w:val="single" w:sz="8" w:space="0" w:color="73A5D8" w:themeColor="accent6"/>
            </w:tcBorders>
            <w:vAlign w:val="center"/>
          </w:tcPr>
          <w:p w:rsidR="00BC4B5C" w:rsidRPr="00574D0A" w:rsidRDefault="00BC4B5C" w:rsidP="008D03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74D0A">
              <w:rPr>
                <w:rFonts w:cstheme="minorHAnsi"/>
                <w:i/>
                <w:color w:val="000000"/>
              </w:rPr>
              <w:t>2</w:t>
            </w:r>
          </w:p>
        </w:tc>
      </w:tr>
      <w:tr w:rsidR="00BC4B5C" w:rsidRPr="003C0922" w:rsidTr="007C140E">
        <w:tc>
          <w:tcPr>
            <w:cnfStyle w:val="001000000000" w:firstRow="0" w:lastRow="0" w:firstColumn="1" w:lastColumn="0" w:oddVBand="0" w:evenVBand="0" w:oddHBand="0" w:evenHBand="0" w:firstRowFirstColumn="0" w:firstRowLastColumn="0" w:lastRowFirstColumn="0" w:lastRowLastColumn="0"/>
            <w:tcW w:w="2977" w:type="dxa"/>
            <w:vAlign w:val="center"/>
          </w:tcPr>
          <w:p w:rsidR="00BC4B5C" w:rsidRPr="003C0922" w:rsidRDefault="00BC4B5C" w:rsidP="00BC4B5C">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r w:rsidR="00000908">
              <w:rPr>
                <w:rFonts w:cstheme="minorHAnsi"/>
                <w:b w:val="0"/>
                <w:i/>
                <w:color w:val="000000"/>
                <w:sz w:val="18"/>
              </w:rPr>
              <w:t xml:space="preserve"> (employees)</w:t>
            </w:r>
          </w:p>
        </w:tc>
        <w:tc>
          <w:tcPr>
            <w:tcW w:w="899" w:type="dxa"/>
            <w:tcBorders>
              <w:right w:val="single" w:sz="8" w:space="0" w:color="73A5D8" w:themeColor="accent6"/>
            </w:tcBorders>
            <w:vAlign w:val="center"/>
          </w:tcPr>
          <w:p w:rsidR="00BC4B5C" w:rsidRPr="003C0922" w:rsidRDefault="00BC4B5C"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24131</w:t>
            </w:r>
          </w:p>
        </w:tc>
        <w:tc>
          <w:tcPr>
            <w:tcW w:w="677" w:type="dxa"/>
            <w:tcBorders>
              <w:left w:val="single" w:sz="8" w:space="0" w:color="73A5D8" w:themeColor="accent6"/>
              <w:righ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1150</w:t>
            </w:r>
          </w:p>
        </w:tc>
        <w:tc>
          <w:tcPr>
            <w:tcW w:w="605" w:type="dxa"/>
            <w:tcBorders>
              <w:left w:val="single" w:sz="8" w:space="0" w:color="73A5D8" w:themeColor="accent6"/>
              <w:righ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448</w:t>
            </w:r>
          </w:p>
        </w:tc>
        <w:tc>
          <w:tcPr>
            <w:tcW w:w="657" w:type="dxa"/>
            <w:tcBorders>
              <w:left w:val="single" w:sz="8" w:space="0" w:color="73A5D8" w:themeColor="accent6"/>
              <w:righ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3363</w:t>
            </w:r>
          </w:p>
        </w:tc>
        <w:tc>
          <w:tcPr>
            <w:tcW w:w="640" w:type="dxa"/>
            <w:tcBorders>
              <w:left w:val="single" w:sz="8" w:space="0" w:color="73A5D8" w:themeColor="accent6"/>
              <w:righ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1968</w:t>
            </w:r>
          </w:p>
        </w:tc>
        <w:tc>
          <w:tcPr>
            <w:tcW w:w="645" w:type="dxa"/>
            <w:tcBorders>
              <w:lef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915</w:t>
            </w:r>
          </w:p>
        </w:tc>
        <w:tc>
          <w:tcPr>
            <w:tcW w:w="657" w:type="dxa"/>
            <w:tcBorders>
              <w:lef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8054</w:t>
            </w:r>
          </w:p>
        </w:tc>
        <w:tc>
          <w:tcPr>
            <w:tcW w:w="641" w:type="dxa"/>
            <w:tcBorders>
              <w:lef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2201</w:t>
            </w:r>
          </w:p>
        </w:tc>
        <w:tc>
          <w:tcPr>
            <w:tcW w:w="640" w:type="dxa"/>
            <w:tcBorders>
              <w:lef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908</w:t>
            </w:r>
          </w:p>
        </w:tc>
        <w:tc>
          <w:tcPr>
            <w:tcW w:w="885" w:type="dxa"/>
            <w:tcBorders>
              <w:left w:val="single" w:sz="8" w:space="0" w:color="73A5D8" w:themeColor="accent6"/>
            </w:tcBorders>
            <w:vAlign w:val="center"/>
          </w:tcPr>
          <w:p w:rsidR="00BC4B5C" w:rsidRPr="003C0922" w:rsidRDefault="00574D0A" w:rsidP="00BC4B5C">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5124</w:t>
            </w:r>
          </w:p>
        </w:tc>
      </w:tr>
    </w:tbl>
    <w:p w:rsidR="00BC4B5C" w:rsidRDefault="00BC4B5C" w:rsidP="00BC4B5C">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BC4B5C" w:rsidRPr="00310C0B" w:rsidRDefault="00BC4B5C" w:rsidP="00310C0B">
      <w:pPr>
        <w:pStyle w:val="BodyText"/>
      </w:pPr>
    </w:p>
    <w:p w:rsidR="00310C0B" w:rsidRDefault="00310C0B" w:rsidP="00310C0B">
      <w:pPr>
        <w:pStyle w:val="Heading2"/>
      </w:pPr>
      <w:bookmarkStart w:id="62" w:name="_Toc394057553"/>
      <w:r>
        <w:t>Skill Gaps</w:t>
      </w:r>
      <w:bookmarkEnd w:id="62"/>
    </w:p>
    <w:p w:rsidR="00161B18" w:rsidRDefault="00F86138" w:rsidP="00310C0B">
      <w:pPr>
        <w:pStyle w:val="BodyText"/>
      </w:pPr>
      <w:r>
        <w:t>One in six employers (17%) highlight</w:t>
      </w:r>
      <w:r w:rsidR="00266CB3">
        <w:t>s</w:t>
      </w:r>
      <w:r>
        <w:t xml:space="preserve"> skill </w:t>
      </w:r>
      <w:r w:rsidR="00161B18">
        <w:t>deficiencies</w:t>
      </w:r>
      <w:r>
        <w:t xml:space="preserve"> among their workforce.</w:t>
      </w:r>
      <w:r w:rsidR="00266CB3">
        <w:t xml:space="preserve">  </w:t>
      </w:r>
      <w:r w:rsidR="00161B18">
        <w:t xml:space="preserve">This is a similar proportion to that reported by the Employer Skills Survey 2013 (15%). </w:t>
      </w:r>
    </w:p>
    <w:p w:rsidR="00941351" w:rsidRDefault="00266CB3" w:rsidP="00310C0B">
      <w:pPr>
        <w:pStyle w:val="BodyText"/>
      </w:pPr>
      <w:r>
        <w:t>The proportion increases with business size, reflecting the increasing probability of some staff needing further skill development where there are more of them.</w:t>
      </w:r>
      <w:r w:rsidR="00F86138">
        <w:t xml:space="preserve">  </w:t>
      </w:r>
    </w:p>
    <w:p w:rsidR="00266CB3" w:rsidRDefault="00266CB3" w:rsidP="00266CB3">
      <w:pPr>
        <w:pStyle w:val="Caption"/>
      </w:pPr>
      <w:r>
        <w:lastRenderedPageBreak/>
        <w:t xml:space="preserve">Figure 8.2:  Proportion of employers identifying skill </w:t>
      </w:r>
      <w:r w:rsidR="00161B18">
        <w:t>deficiencies</w:t>
      </w:r>
      <w:r>
        <w:t xml:space="preserve"> in the workforce, by size (all </w:t>
      </w:r>
      <w:r w:rsidR="00BD5090">
        <w:t>employers</w:t>
      </w:r>
      <w:r>
        <w:t xml:space="preserve">) </w:t>
      </w:r>
    </w:p>
    <w:p w:rsidR="00266CB3" w:rsidRDefault="00E70D3A" w:rsidP="00266CB3">
      <w:pPr>
        <w:pStyle w:val="Caption"/>
      </w:pPr>
      <w:r w:rsidRPr="00E70D3A">
        <w:rPr>
          <w:noProof/>
          <w:lang w:eastAsia="en-GB"/>
        </w:rPr>
        <w:drawing>
          <wp:inline distT="0" distB="0" distL="0" distR="0">
            <wp:extent cx="5772150" cy="2990850"/>
            <wp:effectExtent l="0" t="0" r="0" b="0"/>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6CB3" w:rsidRDefault="00266CB3" w:rsidP="00266CB3">
      <w:pPr>
        <w:pStyle w:val="BodyText"/>
        <w:rPr>
          <w:rFonts w:cs="Arial"/>
          <w:sz w:val="18"/>
        </w:rPr>
      </w:pPr>
      <w:r>
        <w:rPr>
          <w:rFonts w:cs="Arial"/>
          <w:sz w:val="18"/>
        </w:rPr>
        <w:t xml:space="preserve">Unweighted sample bases in parentheses           </w:t>
      </w:r>
    </w:p>
    <w:p w:rsidR="00266CB3" w:rsidRDefault="00266CB3" w:rsidP="00266CB3">
      <w:pPr>
        <w:pStyle w:val="BodyText"/>
        <w:rPr>
          <w:rFonts w:cs="Arial"/>
          <w:sz w:val="18"/>
        </w:rPr>
      </w:pPr>
      <w:r>
        <w:rPr>
          <w:rFonts w:cs="Arial"/>
          <w:sz w:val="18"/>
        </w:rPr>
        <w:t>QC1.  You said that there were ... staff on the payroll at this establishment, I’d like to know how many you think are fully proficient at their job i.e. able to do the job to the required level.</w:t>
      </w:r>
    </w:p>
    <w:p w:rsidR="00266CB3" w:rsidRDefault="00326056" w:rsidP="00310C0B">
      <w:pPr>
        <w:pStyle w:val="BodyText"/>
      </w:pPr>
      <w:r>
        <w:t xml:space="preserve">By sector, the proportion of employers with skill </w:t>
      </w:r>
      <w:r w:rsidR="00161B18">
        <w:t>deficiencies</w:t>
      </w:r>
      <w:r>
        <w:t xml:space="preserve"> in their workforce </w:t>
      </w:r>
      <w:r w:rsidR="00867BC2">
        <w:t>is significantly higher than average within public administration/education/health (25%).  As we have seen, staff qualifications levels are relatively high in the sector, so skill gaps are more likely to arise from the higher skill demands or a greater awareness of skill needs within these businesses than due to low levels of skills among the workforce.</w:t>
      </w:r>
    </w:p>
    <w:p w:rsidR="00BC3592" w:rsidRDefault="00BC3592" w:rsidP="00310C0B">
      <w:pPr>
        <w:pStyle w:val="BodyText"/>
      </w:pPr>
      <w:r>
        <w:t xml:space="preserve">There is evidence that the skills of the workforce are not keeping pace with the demands of businesses where growth is reported.  Of employers that have reported an increase in the workforce in the last 12 months, 29% report skill </w:t>
      </w:r>
      <w:r w:rsidR="00161B18">
        <w:t>deficiencies</w:t>
      </w:r>
      <w:r>
        <w:t xml:space="preserve">, compared with </w:t>
      </w:r>
      <w:r w:rsidR="0024193F">
        <w:t xml:space="preserve">13% of employers reporting no change.  Employers that have introduced new or improved products, services or processes in the last 12 months are significantly more likely than those that have not to report skill </w:t>
      </w:r>
      <w:r w:rsidR="00161B18">
        <w:t>deficiencies</w:t>
      </w:r>
      <w:r w:rsidR="0024193F">
        <w:t xml:space="preserve"> (23%, compared with 13%).</w:t>
      </w:r>
    </w:p>
    <w:p w:rsidR="00867BC2" w:rsidRDefault="00BC3592" w:rsidP="00310C0B">
      <w:pPr>
        <w:pStyle w:val="BodyText"/>
      </w:pPr>
      <w:r>
        <w:t>Skill gaps are most evident within the district of North Kesteven (24%).</w:t>
      </w:r>
    </w:p>
    <w:p w:rsidR="0024193F" w:rsidRDefault="0024193F" w:rsidP="00310C0B">
      <w:pPr>
        <w:pStyle w:val="BodyText"/>
      </w:pPr>
      <w:r>
        <w:t>As a proportion of all employees, 5% of the workforce is reported as not being fully proficient. This varies little by business size, sector or district.</w:t>
      </w:r>
      <w:r w:rsidR="007F0E77">
        <w:t xml:space="preserve"> It is the same as the proportion reported by the Employer Skills Survey 2013.</w:t>
      </w:r>
    </w:p>
    <w:p w:rsidR="007F0E77" w:rsidRDefault="007F0E77" w:rsidP="00310C0B">
      <w:pPr>
        <w:pStyle w:val="BodyText"/>
      </w:pPr>
      <w:r>
        <w:t>The survey also asked about skill gaps in a slightly different way; asking if there is a significant gap between the type of skills that your current employees have now and those they need to meet their current and also future business objectives.</w:t>
      </w:r>
    </w:p>
    <w:p w:rsidR="007F0E77" w:rsidRDefault="00BD5090" w:rsidP="00310C0B">
      <w:pPr>
        <w:pStyle w:val="BodyText"/>
      </w:pPr>
      <w:r>
        <w:t xml:space="preserve">One in ten employers (10%) reported a significant gap between the type of skills that current employees have now and those they need to meet their </w:t>
      </w:r>
      <w:r w:rsidRPr="00BD5090">
        <w:rPr>
          <w:i/>
        </w:rPr>
        <w:t>current</w:t>
      </w:r>
      <w:r>
        <w:t xml:space="preserve"> business objectives.</w:t>
      </w:r>
    </w:p>
    <w:p w:rsidR="00BD5090" w:rsidRDefault="00BD5090" w:rsidP="00310C0B">
      <w:pPr>
        <w:pStyle w:val="BodyText"/>
      </w:pPr>
      <w:r>
        <w:t xml:space="preserve">One in seven employers (15%) reported a significant gap between the type of skills that current employees have now and those they need to meet their </w:t>
      </w:r>
      <w:r w:rsidRPr="00BD5090">
        <w:rPr>
          <w:i/>
        </w:rPr>
        <w:t>future</w:t>
      </w:r>
      <w:r>
        <w:t xml:space="preserve"> business objectives.</w:t>
      </w:r>
    </w:p>
    <w:p w:rsidR="00BD5090" w:rsidRDefault="00A934E5" w:rsidP="00310C0B">
      <w:pPr>
        <w:pStyle w:val="BodyText"/>
      </w:pPr>
      <w:r>
        <w:lastRenderedPageBreak/>
        <w:t>S</w:t>
      </w:r>
      <w:r w:rsidR="00BD5090">
        <w:t>ector differences in the extent of skill gaps are highlighted in the figure that follows</w:t>
      </w:r>
      <w:r>
        <w:t>, but the main point to note is that while manufacturers are significantly more likely than average to report current skill gaps, it is construction employers that are particularly likely to anticipate skill gaps for the future.</w:t>
      </w:r>
    </w:p>
    <w:p w:rsidR="00624AF2" w:rsidRDefault="00624AF2" w:rsidP="00310C0B">
      <w:pPr>
        <w:pStyle w:val="BodyText"/>
      </w:pPr>
      <w:r>
        <w:t>By district, employers in North East Lincolnshire are significantly more likely than average to cite current skill gaps (17%), with those in East Lindsey least likely to (5%).</w:t>
      </w:r>
    </w:p>
    <w:p w:rsidR="00BD5090" w:rsidRDefault="00BD5090" w:rsidP="00BD5090">
      <w:pPr>
        <w:pStyle w:val="Caption"/>
      </w:pPr>
      <w:r>
        <w:t xml:space="preserve">Figure 8.3:  Proportion of employers identifying skill gaps, by sector (all employers) </w:t>
      </w:r>
    </w:p>
    <w:p w:rsidR="00BD5090" w:rsidRDefault="003D448A" w:rsidP="00BD5090">
      <w:pPr>
        <w:pStyle w:val="Caption"/>
      </w:pPr>
      <w:r w:rsidRPr="003D448A">
        <w:rPr>
          <w:noProof/>
          <w:lang w:eastAsia="en-GB"/>
        </w:rPr>
        <w:drawing>
          <wp:inline distT="0" distB="0" distL="0" distR="0">
            <wp:extent cx="5943600" cy="6172200"/>
            <wp:effectExtent l="0" t="0" r="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D5090" w:rsidRDefault="00BD5090" w:rsidP="00BD5090">
      <w:pPr>
        <w:pStyle w:val="BodyText"/>
        <w:rPr>
          <w:rFonts w:cs="Arial"/>
          <w:sz w:val="18"/>
        </w:rPr>
      </w:pPr>
      <w:r>
        <w:rPr>
          <w:rFonts w:cs="Arial"/>
          <w:sz w:val="18"/>
        </w:rPr>
        <w:t xml:space="preserve">Unweighted sample bases in parentheses           </w:t>
      </w:r>
      <w:r w:rsidR="003D448A">
        <w:rPr>
          <w:rFonts w:cs="Arial"/>
          <w:sz w:val="18"/>
        </w:rPr>
        <w:t xml:space="preserve">   *denotes less than 0.5%</w:t>
      </w:r>
    </w:p>
    <w:p w:rsidR="00BD5090" w:rsidRDefault="00BD5090" w:rsidP="00BD5090">
      <w:pPr>
        <w:pStyle w:val="BodyText"/>
        <w:rPr>
          <w:rFonts w:cs="Arial"/>
          <w:sz w:val="18"/>
        </w:rPr>
      </w:pPr>
      <w:r>
        <w:rPr>
          <w:rFonts w:cs="Arial"/>
          <w:sz w:val="18"/>
        </w:rPr>
        <w:t>QC3.  Would you say that there is a significant gap between the type of skills that your current employees have now and those they need to meet... ?  Current business objectives</w:t>
      </w:r>
      <w:r w:rsidR="001B186A">
        <w:rPr>
          <w:rFonts w:cs="Arial"/>
          <w:sz w:val="18"/>
        </w:rPr>
        <w:t>:  F</w:t>
      </w:r>
      <w:r>
        <w:rPr>
          <w:rFonts w:cs="Arial"/>
          <w:sz w:val="18"/>
        </w:rPr>
        <w:t>uture business objectives.</w:t>
      </w:r>
    </w:p>
    <w:p w:rsidR="00F03FF3" w:rsidRDefault="00F03FF3" w:rsidP="00BD5090">
      <w:pPr>
        <w:pStyle w:val="BodyText"/>
        <w:rPr>
          <w:rFonts w:cs="Arial"/>
          <w:sz w:val="1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BD5090" w:rsidRDefault="00BD5090" w:rsidP="00310C0B">
      <w:pPr>
        <w:pStyle w:val="BodyText"/>
      </w:pPr>
    </w:p>
    <w:p w:rsidR="00310C0B" w:rsidRDefault="000D6D96" w:rsidP="00310C0B">
      <w:pPr>
        <w:pStyle w:val="BodyText"/>
      </w:pPr>
      <w:r>
        <w:t>Employers that identify either current or anticipated skill gaps (16% of all employers in aggregate) were asked about the skills that will need improving.</w:t>
      </w:r>
    </w:p>
    <w:p w:rsidR="000D6D96" w:rsidRDefault="004354F0" w:rsidP="00310C0B">
      <w:pPr>
        <w:pStyle w:val="BodyText"/>
      </w:pPr>
      <w:r>
        <w:t>These skill needs are summarised in the figure below.  Technical, practical or job-specific skills are most frequently selected from the list with which employers were prompted</w:t>
      </w:r>
      <w:r w:rsidR="00A05D4F">
        <w:t xml:space="preserve"> (71% of those identifying skill gaps)</w:t>
      </w:r>
      <w:r>
        <w:t>.</w:t>
      </w:r>
      <w:r w:rsidR="00A05D4F">
        <w:t xml:space="preserve">  Also significant are planning and organising skills, problem solving and oral communication skills.</w:t>
      </w:r>
    </w:p>
    <w:p w:rsidR="004354F0" w:rsidRDefault="004354F0" w:rsidP="004354F0">
      <w:pPr>
        <w:pStyle w:val="Caption"/>
      </w:pPr>
      <w:r>
        <w:t>Figure 8.4:  Skills that need improving in the workforce in order to met business objectives (</w:t>
      </w:r>
      <w:r w:rsidR="00686250">
        <w:t>where have skill gaps</w:t>
      </w:r>
      <w:r>
        <w:t xml:space="preserve">) </w:t>
      </w:r>
    </w:p>
    <w:p w:rsidR="004354F0" w:rsidRDefault="009951DB" w:rsidP="004354F0">
      <w:pPr>
        <w:pStyle w:val="Caption"/>
      </w:pPr>
      <w:r w:rsidRPr="009951DB">
        <w:rPr>
          <w:noProof/>
          <w:lang w:eastAsia="en-GB"/>
        </w:rPr>
        <w:drawing>
          <wp:inline distT="0" distB="0" distL="0" distR="0">
            <wp:extent cx="6048375" cy="5210175"/>
            <wp:effectExtent l="0" t="0" r="0" b="0"/>
            <wp:docPr id="3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354F0" w:rsidRDefault="004354F0" w:rsidP="004354F0">
      <w:pPr>
        <w:pStyle w:val="BodyText"/>
        <w:rPr>
          <w:rFonts w:cs="Arial"/>
          <w:sz w:val="18"/>
        </w:rPr>
      </w:pPr>
      <w:r>
        <w:rPr>
          <w:rFonts w:cs="Arial"/>
          <w:sz w:val="18"/>
        </w:rPr>
        <w:t xml:space="preserve">Unweighted sample base = 249           </w:t>
      </w:r>
    </w:p>
    <w:p w:rsidR="004354F0" w:rsidRDefault="004354F0" w:rsidP="004354F0">
      <w:pPr>
        <w:pStyle w:val="BodyText"/>
        <w:rPr>
          <w:rFonts w:cs="Arial"/>
          <w:sz w:val="18"/>
        </w:rPr>
      </w:pPr>
      <w:r>
        <w:rPr>
          <w:rFonts w:cs="Arial"/>
          <w:sz w:val="18"/>
        </w:rPr>
        <w:t xml:space="preserve">QC4.  Please tell </w:t>
      </w:r>
      <w:r w:rsidR="00E8638D">
        <w:rPr>
          <w:rFonts w:cs="Arial"/>
          <w:sz w:val="18"/>
        </w:rPr>
        <w:t xml:space="preserve">us </w:t>
      </w:r>
      <w:r>
        <w:rPr>
          <w:rFonts w:cs="Arial"/>
          <w:sz w:val="18"/>
        </w:rPr>
        <w:t>about these skill gaps.  Which, if any, of the following skills do you feel need improving...?</w:t>
      </w:r>
    </w:p>
    <w:p w:rsidR="00B03E06" w:rsidRDefault="00B03E06" w:rsidP="004354F0">
      <w:pPr>
        <w:pStyle w:val="BodyText"/>
        <w:rPr>
          <w:rFonts w:cs="Arial"/>
          <w:sz w:val="18"/>
        </w:rPr>
      </w:pPr>
    </w:p>
    <w:p w:rsidR="00310C0B" w:rsidRDefault="00310C0B" w:rsidP="00310C0B">
      <w:pPr>
        <w:pStyle w:val="Heading2"/>
      </w:pPr>
      <w:bookmarkStart w:id="63" w:name="_Toc394057554"/>
      <w:r>
        <w:lastRenderedPageBreak/>
        <w:t>Training activity</w:t>
      </w:r>
      <w:bookmarkEnd w:id="63"/>
    </w:p>
    <w:p w:rsidR="00310C0B" w:rsidRDefault="00310C0B" w:rsidP="00310C0B">
      <w:pPr>
        <w:pStyle w:val="Heading3"/>
      </w:pPr>
      <w:bookmarkStart w:id="64" w:name="_Toc394057555"/>
      <w:r>
        <w:t>Training plans and budgets</w:t>
      </w:r>
      <w:bookmarkEnd w:id="64"/>
    </w:p>
    <w:p w:rsidR="00D16C50" w:rsidRDefault="00D16C50" w:rsidP="00310C0B">
      <w:pPr>
        <w:pStyle w:val="BodyText"/>
      </w:pPr>
      <w:r>
        <w:t>Half the employers in Greater Lincolnshire (50%) have a training plan or budget.  The proportion in Lincolnshire County is 51%, while it is significantly higher in Lincoln district than average (62%).</w:t>
      </w:r>
    </w:p>
    <w:p w:rsidR="00D16C50" w:rsidRDefault="00D16C50" w:rsidP="00310C0B">
      <w:pPr>
        <w:pStyle w:val="BodyText"/>
      </w:pPr>
      <w:r>
        <w:t>Reflecting a higher propensity to train which is frequently documented in employer surveys, having plans and budgets relating to training increases with business size to 92% of employers with 25 or more staff.</w:t>
      </w:r>
    </w:p>
    <w:p w:rsidR="00D16C50" w:rsidRDefault="00D16C50" w:rsidP="00D16C50">
      <w:pPr>
        <w:pStyle w:val="Caption"/>
      </w:pPr>
      <w:r>
        <w:t xml:space="preserve">Figure 8.5:  Proportion of employers that have a training plan or budget, by size (all employers) </w:t>
      </w:r>
    </w:p>
    <w:p w:rsidR="00D16C50" w:rsidRDefault="00D16C50" w:rsidP="00D16C50">
      <w:pPr>
        <w:pStyle w:val="Caption"/>
      </w:pPr>
      <w:r w:rsidRPr="00D16C50">
        <w:rPr>
          <w:noProof/>
          <w:lang w:eastAsia="en-GB"/>
        </w:rPr>
        <w:drawing>
          <wp:inline distT="0" distB="0" distL="0" distR="0">
            <wp:extent cx="5686425" cy="3286125"/>
            <wp:effectExtent l="0" t="0" r="0" b="0"/>
            <wp:docPr id="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6C50" w:rsidRDefault="00D16C50" w:rsidP="00D16C50">
      <w:pPr>
        <w:pStyle w:val="BodyText"/>
        <w:rPr>
          <w:rFonts w:cs="Arial"/>
          <w:sz w:val="18"/>
        </w:rPr>
      </w:pPr>
      <w:r>
        <w:rPr>
          <w:rFonts w:cs="Arial"/>
          <w:sz w:val="18"/>
        </w:rPr>
        <w:t xml:space="preserve">Unweighted sample bases in parentheses           </w:t>
      </w:r>
    </w:p>
    <w:p w:rsidR="00D16C50" w:rsidRDefault="00D16C50" w:rsidP="00D16C50">
      <w:pPr>
        <w:pStyle w:val="BodyText"/>
        <w:rPr>
          <w:rFonts w:cs="Arial"/>
          <w:sz w:val="18"/>
        </w:rPr>
      </w:pPr>
      <w:r>
        <w:rPr>
          <w:rFonts w:cs="Arial"/>
          <w:sz w:val="18"/>
        </w:rPr>
        <w:t>QC5.  Does your company have a training plan or budget?</w:t>
      </w:r>
    </w:p>
    <w:p w:rsidR="00B10FD7" w:rsidRDefault="00B10FD7" w:rsidP="00B10FD7">
      <w:pPr>
        <w:pStyle w:val="BodyText"/>
      </w:pPr>
      <w:r>
        <w:t>Business size is the key determinant of the propensity to offer training within a business.  This reflects both the number of staff that potentially needs training and the resources available to fund it or facilitate it.  With a larger throughput of staff that needs to be sufficiently skilled in their jobs, it becomes more worthwhile to put in place processes and practices that make the provision of staff training better organised and therefore easier to arrange and more effective in terms of both having identified the right type of training for staff and assessing the outcome.</w:t>
      </w:r>
    </w:p>
    <w:p w:rsidR="00310C0B" w:rsidRDefault="00310C0B" w:rsidP="00310C0B">
      <w:pPr>
        <w:pStyle w:val="Heading3"/>
      </w:pPr>
      <w:bookmarkStart w:id="65" w:name="_Toc394057556"/>
      <w:r>
        <w:t>Off-the-job training</w:t>
      </w:r>
      <w:bookmarkEnd w:id="65"/>
    </w:p>
    <w:p w:rsidR="00B34EFA" w:rsidRDefault="00B34EFA" w:rsidP="00310C0B">
      <w:pPr>
        <w:pStyle w:val="BodyText"/>
      </w:pPr>
      <w:r>
        <w:t>Off-the-job training is training away from the individual’s immediate work position, whether or not on the business’ premises.</w:t>
      </w:r>
    </w:p>
    <w:p w:rsidR="00DE2789" w:rsidRDefault="00B34EFA" w:rsidP="00310C0B">
      <w:pPr>
        <w:pStyle w:val="BodyText"/>
      </w:pPr>
      <w:r>
        <w:lastRenderedPageBreak/>
        <w:t xml:space="preserve">Nearly half the employers in Greater Lincolnshire (48%) have arranged or funded any off-the-job training or development for employees at their site in the last 12 months.  </w:t>
      </w:r>
      <w:r w:rsidR="005152B3">
        <w:t xml:space="preserve">  This compares with 49% reported in the Employer Skills Survey 2013 (UK-wide).</w:t>
      </w:r>
    </w:p>
    <w:p w:rsidR="00E25BD2" w:rsidRDefault="00E25BD2" w:rsidP="00310C0B">
      <w:pPr>
        <w:pStyle w:val="BodyText"/>
      </w:pPr>
      <w:r>
        <w:t>In line with observations regarding the propensity to train increasing with business size, this increases to 90% of 100+ employers.</w:t>
      </w:r>
    </w:p>
    <w:p w:rsidR="00310C0B" w:rsidRDefault="00310C0B" w:rsidP="00310C0B">
      <w:pPr>
        <w:pStyle w:val="Heading3"/>
      </w:pPr>
      <w:bookmarkStart w:id="66" w:name="_Toc394057557"/>
      <w:r>
        <w:t>On-the-job training</w:t>
      </w:r>
      <w:bookmarkEnd w:id="66"/>
    </w:p>
    <w:p w:rsidR="00310C0B" w:rsidRDefault="00E25BD2" w:rsidP="00310C0B">
      <w:pPr>
        <w:pStyle w:val="BodyText"/>
      </w:pPr>
      <w:r>
        <w:t xml:space="preserve">On-the-job training </w:t>
      </w:r>
      <w:r w:rsidR="005F59E8">
        <w:t>is</w:t>
      </w:r>
      <w:r>
        <w:t xml:space="preserve"> activities that would be recognised as training by the staff and not the sort of learning by experience which could take place all the time.  It is on an informal basis.</w:t>
      </w:r>
    </w:p>
    <w:p w:rsidR="005152B3" w:rsidRDefault="00E25BD2" w:rsidP="00310C0B">
      <w:pPr>
        <w:pStyle w:val="BodyText"/>
      </w:pPr>
      <w:r>
        <w:t xml:space="preserve">Half the employers in Greater Lincolnshire (51%) have arranged or funded any on-the-job training and development in the last 12 months.  </w:t>
      </w:r>
      <w:r w:rsidR="005152B3">
        <w:t xml:space="preserve">This compares with 52% reported in the Employer Skills Survey 2013 (UK-wide).  </w:t>
      </w:r>
    </w:p>
    <w:p w:rsidR="00E25BD2" w:rsidRDefault="00E25BD2" w:rsidP="00310C0B">
      <w:pPr>
        <w:pStyle w:val="BodyText"/>
      </w:pPr>
      <w:r>
        <w:t>Th</w:t>
      </w:r>
      <w:r w:rsidR="005152B3">
        <w:t>e proportion providing on-the-job training in Greater Lincolnshire</w:t>
      </w:r>
      <w:r>
        <w:t xml:space="preserve"> increases to 94% of 100+ employers.</w:t>
      </w:r>
    </w:p>
    <w:p w:rsidR="00E25BD2" w:rsidRDefault="00E25BD2" w:rsidP="00E25BD2">
      <w:pPr>
        <w:pStyle w:val="Heading3"/>
      </w:pPr>
      <w:bookmarkStart w:id="67" w:name="_Toc394057558"/>
      <w:r>
        <w:t>Summary of training</w:t>
      </w:r>
      <w:bookmarkEnd w:id="67"/>
    </w:p>
    <w:p w:rsidR="00E25BD2" w:rsidRDefault="004571E0" w:rsidP="00310C0B">
      <w:pPr>
        <w:pStyle w:val="BodyText"/>
      </w:pPr>
      <w:r>
        <w:t>Overall, 64% of Greater Lincolnshire employers have arranged or funded any on or off-the-job training in the last 12 months.   A third (34%) have arranged or funded both, while minorities have only arranged or funded on-the-job training (17%) and off-the-job training (13%).</w:t>
      </w:r>
      <w:r w:rsidR="00F03FF3">
        <w:t xml:space="preserve">  The increased propensity to train at all within larger businesses is illustrated in the figure below.</w:t>
      </w:r>
    </w:p>
    <w:p w:rsidR="005152B3" w:rsidRDefault="005152B3" w:rsidP="00310C0B">
      <w:pPr>
        <w:pStyle w:val="BodyText"/>
      </w:pPr>
      <w:r>
        <w:t>The overall figure of 64% compares with 66% reported in the Employer Skills Survey 2013 (UK-wide).</w:t>
      </w:r>
    </w:p>
    <w:p w:rsidR="00E3671E" w:rsidRDefault="00E3671E">
      <w:pPr>
        <w:spacing w:after="360"/>
        <w:rPr>
          <w:b/>
          <w:bCs/>
          <w:szCs w:val="18"/>
        </w:rPr>
      </w:pPr>
      <w:r>
        <w:br w:type="page"/>
      </w:r>
    </w:p>
    <w:p w:rsidR="0096095D" w:rsidRDefault="0096095D" w:rsidP="0096095D">
      <w:pPr>
        <w:pStyle w:val="Caption"/>
      </w:pPr>
      <w:r>
        <w:lastRenderedPageBreak/>
        <w:t xml:space="preserve">Figure 8.6:  Proportion of employers that have funded or arranged on or off-the-job training, by size (all employers) </w:t>
      </w:r>
    </w:p>
    <w:p w:rsidR="0096095D" w:rsidRDefault="0096095D" w:rsidP="0096095D">
      <w:pPr>
        <w:pStyle w:val="Caption"/>
      </w:pPr>
      <w:r w:rsidRPr="0096095D">
        <w:rPr>
          <w:noProof/>
          <w:lang w:eastAsia="en-GB"/>
        </w:rPr>
        <w:drawing>
          <wp:inline distT="0" distB="0" distL="0" distR="0">
            <wp:extent cx="5991225" cy="3286125"/>
            <wp:effectExtent l="0" t="0" r="0" b="0"/>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6095D" w:rsidRDefault="0096095D" w:rsidP="00F03FF3">
      <w:pPr>
        <w:pStyle w:val="BodyText"/>
        <w:spacing w:before="20" w:after="20" w:line="240" w:lineRule="auto"/>
        <w:rPr>
          <w:rFonts w:cs="Arial"/>
          <w:sz w:val="18"/>
        </w:rPr>
      </w:pPr>
      <w:r>
        <w:rPr>
          <w:rFonts w:cs="Arial"/>
          <w:sz w:val="18"/>
        </w:rPr>
        <w:t xml:space="preserve">Unweighted sample bases in parentheses           </w:t>
      </w:r>
    </w:p>
    <w:p w:rsidR="0096095D" w:rsidRDefault="0096095D" w:rsidP="00F03FF3">
      <w:pPr>
        <w:pStyle w:val="BodyText"/>
        <w:spacing w:before="20" w:after="20" w:line="240" w:lineRule="auto"/>
        <w:rPr>
          <w:rFonts w:cs="Arial"/>
          <w:sz w:val="18"/>
        </w:rPr>
      </w:pPr>
      <w:r>
        <w:rPr>
          <w:rFonts w:cs="Arial"/>
          <w:sz w:val="18"/>
        </w:rPr>
        <w:t>QC6.  Over the past 12 months, have you arranged or funded any off-the-job training or development for employees at this site?</w:t>
      </w:r>
    </w:p>
    <w:p w:rsidR="0096095D" w:rsidRDefault="0096095D" w:rsidP="00F03FF3">
      <w:pPr>
        <w:pStyle w:val="BodyText"/>
        <w:spacing w:before="20" w:after="20" w:line="240" w:lineRule="auto"/>
        <w:rPr>
          <w:rFonts w:cs="Arial"/>
          <w:sz w:val="18"/>
        </w:rPr>
      </w:pPr>
      <w:r>
        <w:rPr>
          <w:rFonts w:cs="Arial"/>
          <w:sz w:val="18"/>
        </w:rPr>
        <w:t>QC7.  Over the past 12 months, have you arranged or funded any on-the-job or informal training and development over the last 12 months.</w:t>
      </w:r>
    </w:p>
    <w:p w:rsidR="00F03FF3" w:rsidRDefault="00F03FF3" w:rsidP="00F03FF3">
      <w:pPr>
        <w:pStyle w:val="BodyText"/>
        <w:spacing w:before="20" w:after="20" w:line="240" w:lineRule="auto"/>
        <w:rPr>
          <w:i/>
          <w:sz w:val="1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515449" w:rsidRDefault="00515449" w:rsidP="00F03FF3">
      <w:pPr>
        <w:pStyle w:val="BodyText"/>
        <w:spacing w:before="20" w:after="20" w:line="240" w:lineRule="auto"/>
        <w:rPr>
          <w:i/>
          <w:sz w:val="18"/>
        </w:rPr>
      </w:pPr>
    </w:p>
    <w:p w:rsidR="00515449" w:rsidRDefault="00DA4A4B" w:rsidP="00515449">
      <w:pPr>
        <w:pStyle w:val="BodyText"/>
      </w:pPr>
      <w:r>
        <w:t>By sector, levels of training are significantly higher in public administration/education/health, while lower than average within distribution/hotels/restaurants.  Both construction and banking/finance/insurance report higher than average propensities to offer off-the-job training.</w:t>
      </w:r>
    </w:p>
    <w:p w:rsidR="00E3671E" w:rsidRDefault="00E3671E">
      <w:pPr>
        <w:spacing w:after="360"/>
        <w:rPr>
          <w:b/>
          <w:bCs/>
          <w:szCs w:val="18"/>
        </w:rPr>
      </w:pPr>
      <w:r>
        <w:br w:type="page"/>
      </w:r>
    </w:p>
    <w:p w:rsidR="00025C74" w:rsidRDefault="00025C74" w:rsidP="00025C74">
      <w:pPr>
        <w:pStyle w:val="Caption"/>
      </w:pPr>
      <w:r>
        <w:lastRenderedPageBreak/>
        <w:t>Table 8.7: Proportion of employers that have funded or arranged on or off-the-job training, by sector (all employers)</w:t>
      </w:r>
    </w:p>
    <w:tbl>
      <w:tblPr>
        <w:tblStyle w:val="LightList-Accent6"/>
        <w:tblW w:w="10065" w:type="dxa"/>
        <w:tblInd w:w="108" w:type="dxa"/>
        <w:tblLook w:val="04A0" w:firstRow="1" w:lastRow="0" w:firstColumn="1" w:lastColumn="0" w:noHBand="0" w:noVBand="1"/>
      </w:tblPr>
      <w:tblGrid>
        <w:gridCol w:w="3119"/>
        <w:gridCol w:w="899"/>
        <w:gridCol w:w="677"/>
        <w:gridCol w:w="605"/>
        <w:gridCol w:w="657"/>
        <w:gridCol w:w="640"/>
        <w:gridCol w:w="645"/>
        <w:gridCol w:w="657"/>
        <w:gridCol w:w="641"/>
        <w:gridCol w:w="640"/>
        <w:gridCol w:w="885"/>
      </w:tblGrid>
      <w:tr w:rsidR="007C140E" w:rsidRPr="003C0922" w:rsidTr="007C140E">
        <w:trPr>
          <w:cnfStyle w:val="100000000000" w:firstRow="1" w:lastRow="0" w:firstColumn="0" w:lastColumn="0" w:oddVBand="0" w:evenVBand="0" w:oddHBand="0" w:evenHBand="0" w:firstRowFirstColumn="0" w:firstRowLastColumn="0" w:lastRowFirstColumn="0" w:lastRowLastColumn="0"/>
          <w:cantSplit/>
          <w:trHeight w:val="247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7C140E" w:rsidRPr="003C0922" w:rsidRDefault="007C140E" w:rsidP="00715706">
            <w:pPr>
              <w:spacing w:before="60" w:after="60"/>
              <w:rPr>
                <w:rFonts w:cstheme="minorHAnsi"/>
                <w:b w:val="0"/>
                <w:sz w:val="20"/>
              </w:rPr>
            </w:pPr>
            <w:r>
              <w:rPr>
                <w:rFonts w:cstheme="minorHAnsi"/>
                <w:b w:val="0"/>
                <w:sz w:val="20"/>
              </w:rPr>
              <w:t>Column percentages</w:t>
            </w:r>
          </w:p>
        </w:tc>
        <w:tc>
          <w:tcPr>
            <w:tcW w:w="899" w:type="dxa"/>
            <w:textDirection w:val="tbRl"/>
            <w:vAlign w:val="center"/>
          </w:tcPr>
          <w:p w:rsidR="007C140E" w:rsidRPr="00E3671E" w:rsidRDefault="007C140E" w:rsidP="00715706">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E3671E">
              <w:rPr>
                <w:rFonts w:cstheme="minorHAnsi"/>
              </w:rPr>
              <w:t>Greater Lincolnshire</w:t>
            </w:r>
          </w:p>
        </w:tc>
        <w:tc>
          <w:tcPr>
            <w:tcW w:w="67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Agric</w:t>
            </w:r>
            <w:r>
              <w:rPr>
                <w:rFonts w:eastAsia="Times New Roman" w:cstheme="minorHAnsi"/>
                <w:lang w:eastAsia="en-GB"/>
              </w:rPr>
              <w:t>ulture/f</w:t>
            </w:r>
            <w:r w:rsidRPr="0002235B">
              <w:rPr>
                <w:rFonts w:eastAsia="Times New Roman" w:cstheme="minorHAnsi"/>
                <w:lang w:eastAsia="en-GB"/>
              </w:rPr>
              <w:t>ishing</w:t>
            </w:r>
          </w:p>
        </w:tc>
        <w:tc>
          <w:tcPr>
            <w:tcW w:w="60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Energy</w:t>
            </w:r>
            <w:r>
              <w:rPr>
                <w:rFonts w:eastAsia="Times New Roman" w:cstheme="minorHAnsi"/>
                <w:lang w:eastAsia="en-GB"/>
              </w:rPr>
              <w:t>/w</w:t>
            </w:r>
            <w:r w:rsidRPr="0002235B">
              <w:rPr>
                <w:rFonts w:eastAsia="Times New Roman" w:cstheme="minorHAnsi"/>
                <w:lang w:eastAsia="en-GB"/>
              </w:rPr>
              <w:t>ater*</w:t>
            </w:r>
          </w:p>
        </w:tc>
        <w:tc>
          <w:tcPr>
            <w:tcW w:w="6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Banking</w:t>
            </w:r>
            <w:r>
              <w:rPr>
                <w:rFonts w:eastAsia="Times New Roman" w:cstheme="minorHAnsi"/>
                <w:lang w:eastAsia="en-GB"/>
              </w:rPr>
              <w:t>/f</w:t>
            </w:r>
            <w:r w:rsidRPr="0002235B">
              <w:rPr>
                <w:rFonts w:eastAsia="Times New Roman" w:cstheme="minorHAnsi"/>
                <w:lang w:eastAsia="en-GB"/>
              </w:rPr>
              <w:t>inance</w:t>
            </w:r>
            <w:r>
              <w:rPr>
                <w:rFonts w:eastAsia="Times New Roman" w:cstheme="minorHAnsi"/>
                <w:lang w:eastAsia="en-GB"/>
              </w:rPr>
              <w:t>/ i</w:t>
            </w:r>
            <w:r w:rsidRPr="0002235B">
              <w:rPr>
                <w:rFonts w:eastAsia="Times New Roman" w:cstheme="minorHAnsi"/>
                <w:lang w:eastAsia="en-GB"/>
              </w:rPr>
              <w:t>nsurance</w:t>
            </w:r>
          </w:p>
        </w:tc>
        <w:tc>
          <w:tcPr>
            <w:tcW w:w="64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Manufacturing</w:t>
            </w:r>
          </w:p>
        </w:tc>
        <w:tc>
          <w:tcPr>
            <w:tcW w:w="64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Construction</w:t>
            </w:r>
          </w:p>
        </w:tc>
        <w:tc>
          <w:tcPr>
            <w:tcW w:w="657"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Dist</w:t>
            </w:r>
            <w:r>
              <w:rPr>
                <w:rFonts w:eastAsia="Times New Roman" w:cstheme="minorHAnsi"/>
                <w:lang w:eastAsia="en-GB"/>
              </w:rPr>
              <w:t>ribution/hotels/ r</w:t>
            </w:r>
            <w:r w:rsidRPr="0002235B">
              <w:rPr>
                <w:rFonts w:eastAsia="Times New Roman" w:cstheme="minorHAnsi"/>
                <w:lang w:eastAsia="en-GB"/>
              </w:rPr>
              <w:t>estaurants</w:t>
            </w:r>
          </w:p>
        </w:tc>
        <w:tc>
          <w:tcPr>
            <w:tcW w:w="641"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Transport </w:t>
            </w:r>
            <w:r>
              <w:rPr>
                <w:rFonts w:eastAsia="Times New Roman" w:cstheme="minorHAnsi"/>
                <w:lang w:eastAsia="en-GB"/>
              </w:rPr>
              <w:t>/c</w:t>
            </w:r>
            <w:r w:rsidRPr="0002235B">
              <w:rPr>
                <w:rFonts w:eastAsia="Times New Roman" w:cstheme="minorHAnsi"/>
                <w:lang w:eastAsia="en-GB"/>
              </w:rPr>
              <w:t>omm</w:t>
            </w:r>
            <w:r>
              <w:rPr>
                <w:rFonts w:eastAsia="Times New Roman" w:cstheme="minorHAnsi"/>
                <w:lang w:eastAsia="en-GB"/>
              </w:rPr>
              <w:t>unications</w:t>
            </w:r>
          </w:p>
        </w:tc>
        <w:tc>
          <w:tcPr>
            <w:tcW w:w="640"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Other </w:t>
            </w:r>
            <w:r>
              <w:rPr>
                <w:rFonts w:eastAsia="Times New Roman" w:cstheme="minorHAnsi"/>
                <w:lang w:eastAsia="en-GB"/>
              </w:rPr>
              <w:t>s</w:t>
            </w:r>
            <w:r w:rsidRPr="0002235B">
              <w:rPr>
                <w:rFonts w:eastAsia="Times New Roman" w:cstheme="minorHAnsi"/>
                <w:lang w:eastAsia="en-GB"/>
              </w:rPr>
              <w:t>ervices</w:t>
            </w:r>
          </w:p>
        </w:tc>
        <w:tc>
          <w:tcPr>
            <w:tcW w:w="885" w:type="dxa"/>
            <w:tcBorders>
              <w:bottom w:val="single" w:sz="8" w:space="0" w:color="73A5D8" w:themeColor="accent6"/>
            </w:tcBorders>
            <w:textDirection w:val="tbRl"/>
            <w:vAlign w:val="center"/>
          </w:tcPr>
          <w:p w:rsidR="007C140E" w:rsidRPr="0002235B" w:rsidRDefault="007C140E" w:rsidP="007C140E">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2235B">
              <w:rPr>
                <w:rFonts w:eastAsia="Times New Roman" w:cstheme="minorHAnsi"/>
                <w:lang w:eastAsia="en-GB"/>
              </w:rPr>
              <w:t xml:space="preserve">Public </w:t>
            </w:r>
            <w:r>
              <w:rPr>
                <w:rFonts w:eastAsia="Times New Roman" w:cstheme="minorHAnsi"/>
                <w:lang w:eastAsia="en-GB"/>
              </w:rPr>
              <w:t>a</w:t>
            </w:r>
            <w:r w:rsidRPr="0002235B">
              <w:rPr>
                <w:rFonts w:eastAsia="Times New Roman" w:cstheme="minorHAnsi"/>
                <w:lang w:eastAsia="en-GB"/>
              </w:rPr>
              <w:t>dmin</w:t>
            </w:r>
            <w:r>
              <w:rPr>
                <w:rFonts w:eastAsia="Times New Roman" w:cstheme="minorHAnsi"/>
                <w:lang w:eastAsia="en-GB"/>
              </w:rPr>
              <w:t>istration/ education/health</w:t>
            </w:r>
          </w:p>
        </w:tc>
      </w:tr>
      <w:tr w:rsidR="00025C74" w:rsidTr="007C140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119" w:type="dxa"/>
            <w:vAlign w:val="bottom"/>
          </w:tcPr>
          <w:p w:rsidR="00025C74" w:rsidRPr="00BC4B5C" w:rsidRDefault="00025C74" w:rsidP="00E3671E">
            <w:pPr>
              <w:spacing w:before="60" w:after="60"/>
              <w:rPr>
                <w:rFonts w:cstheme="minorHAnsi"/>
                <w:b w:val="0"/>
                <w:color w:val="000000"/>
                <w:sz w:val="20"/>
              </w:rPr>
            </w:pPr>
            <w:r>
              <w:rPr>
                <w:rFonts w:cstheme="minorHAnsi"/>
                <w:b w:val="0"/>
                <w:color w:val="000000"/>
                <w:sz w:val="20"/>
              </w:rPr>
              <w:t>Any off-the-job training</w:t>
            </w:r>
          </w:p>
        </w:tc>
        <w:tc>
          <w:tcPr>
            <w:tcW w:w="899" w:type="dxa"/>
            <w:tcBorders>
              <w:right w:val="single" w:sz="8" w:space="0" w:color="73A5D8" w:themeColor="accent6"/>
            </w:tcBorders>
            <w:vAlign w:val="center"/>
          </w:tcPr>
          <w:p w:rsidR="00025C74" w:rsidRPr="00BC4B5C"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48</w:t>
            </w:r>
          </w:p>
        </w:tc>
        <w:tc>
          <w:tcPr>
            <w:tcW w:w="67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50</w:t>
            </w:r>
          </w:p>
        </w:tc>
        <w:tc>
          <w:tcPr>
            <w:tcW w:w="60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50</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25C74">
              <w:rPr>
                <w:rFonts w:cstheme="minorHAnsi"/>
                <w:b/>
                <w:color w:val="000000"/>
              </w:rPr>
              <w:t>53</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44</w:t>
            </w:r>
          </w:p>
        </w:tc>
        <w:tc>
          <w:tcPr>
            <w:tcW w:w="64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25C74">
              <w:rPr>
                <w:rFonts w:cstheme="minorHAnsi"/>
                <w:b/>
                <w:color w:val="000000"/>
              </w:rPr>
              <w:t>59</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025C74">
              <w:rPr>
                <w:rFonts w:cstheme="minorHAnsi"/>
                <w:i/>
                <w:color w:val="000000"/>
              </w:rPr>
              <w:t>36</w:t>
            </w:r>
          </w:p>
        </w:tc>
        <w:tc>
          <w:tcPr>
            <w:tcW w:w="641"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46</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41</w:t>
            </w:r>
          </w:p>
        </w:tc>
        <w:tc>
          <w:tcPr>
            <w:tcW w:w="885" w:type="dxa"/>
            <w:tcBorders>
              <w:lef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25C74">
              <w:rPr>
                <w:rFonts w:cstheme="minorHAnsi"/>
                <w:b/>
                <w:color w:val="000000"/>
              </w:rPr>
              <w:t>80</w:t>
            </w:r>
          </w:p>
        </w:tc>
      </w:tr>
      <w:tr w:rsidR="00025C74" w:rsidTr="007C140E">
        <w:tc>
          <w:tcPr>
            <w:cnfStyle w:val="001000000000" w:firstRow="0" w:lastRow="0" w:firstColumn="1" w:lastColumn="0" w:oddVBand="0" w:evenVBand="0" w:oddHBand="0" w:evenHBand="0" w:firstRowFirstColumn="0" w:firstRowLastColumn="0" w:lastRowFirstColumn="0" w:lastRowLastColumn="0"/>
            <w:tcW w:w="3119" w:type="dxa"/>
            <w:vAlign w:val="bottom"/>
          </w:tcPr>
          <w:p w:rsidR="00025C74" w:rsidRPr="00BC4B5C" w:rsidRDefault="00025C74" w:rsidP="00E3671E">
            <w:pPr>
              <w:spacing w:before="60" w:after="60"/>
              <w:rPr>
                <w:rFonts w:cstheme="minorHAnsi"/>
                <w:b w:val="0"/>
                <w:color w:val="000000"/>
                <w:sz w:val="20"/>
              </w:rPr>
            </w:pPr>
            <w:r>
              <w:rPr>
                <w:rFonts w:cstheme="minorHAnsi"/>
                <w:b w:val="0"/>
                <w:color w:val="000000"/>
                <w:sz w:val="20"/>
              </w:rPr>
              <w:t>Any on-the-job training</w:t>
            </w:r>
          </w:p>
        </w:tc>
        <w:tc>
          <w:tcPr>
            <w:tcW w:w="899" w:type="dxa"/>
            <w:tcBorders>
              <w:right w:val="single" w:sz="8" w:space="0" w:color="73A5D8" w:themeColor="accent6"/>
            </w:tcBorders>
            <w:vAlign w:val="center"/>
          </w:tcPr>
          <w:p w:rsidR="00025C74" w:rsidRPr="00BC4B5C"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51</w:t>
            </w:r>
          </w:p>
        </w:tc>
        <w:tc>
          <w:tcPr>
            <w:tcW w:w="67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025C74">
              <w:rPr>
                <w:rFonts w:cstheme="minorHAnsi"/>
                <w:i/>
                <w:color w:val="000000"/>
              </w:rPr>
              <w:t>34</w:t>
            </w:r>
          </w:p>
        </w:tc>
        <w:tc>
          <w:tcPr>
            <w:tcW w:w="60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72</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54</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025C74">
              <w:rPr>
                <w:rFonts w:cstheme="minorHAnsi"/>
                <w:i/>
                <w:color w:val="000000"/>
              </w:rPr>
              <w:t>40</w:t>
            </w:r>
          </w:p>
        </w:tc>
        <w:tc>
          <w:tcPr>
            <w:tcW w:w="64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49</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46</w:t>
            </w:r>
          </w:p>
        </w:tc>
        <w:tc>
          <w:tcPr>
            <w:tcW w:w="641"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025C74">
              <w:rPr>
                <w:rFonts w:cstheme="minorHAnsi"/>
                <w:i/>
                <w:color w:val="000000"/>
              </w:rPr>
              <w:t>46</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50</w:t>
            </w:r>
          </w:p>
        </w:tc>
        <w:tc>
          <w:tcPr>
            <w:tcW w:w="885" w:type="dxa"/>
            <w:tcBorders>
              <w:lef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25C74">
              <w:rPr>
                <w:rFonts w:cstheme="minorHAnsi"/>
                <w:b/>
                <w:color w:val="000000"/>
              </w:rPr>
              <w:t>81</w:t>
            </w:r>
          </w:p>
        </w:tc>
      </w:tr>
      <w:tr w:rsidR="00025C74"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025C74" w:rsidRPr="00BC4B5C" w:rsidRDefault="00025C74" w:rsidP="00E3671E">
            <w:pPr>
              <w:spacing w:before="60" w:after="60"/>
              <w:rPr>
                <w:rFonts w:cstheme="minorHAnsi"/>
                <w:b w:val="0"/>
                <w:color w:val="000000"/>
                <w:sz w:val="20"/>
              </w:rPr>
            </w:pPr>
            <w:r>
              <w:rPr>
                <w:rFonts w:cstheme="minorHAnsi"/>
                <w:b w:val="0"/>
                <w:color w:val="000000"/>
                <w:sz w:val="20"/>
              </w:rPr>
              <w:t>On-the-job training only</w:t>
            </w:r>
          </w:p>
        </w:tc>
        <w:tc>
          <w:tcPr>
            <w:tcW w:w="899" w:type="dxa"/>
            <w:tcBorders>
              <w:right w:val="single" w:sz="8" w:space="0" w:color="73A5D8" w:themeColor="accent6"/>
            </w:tcBorders>
            <w:vAlign w:val="center"/>
          </w:tcPr>
          <w:p w:rsidR="00025C74" w:rsidRPr="00BC4B5C"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w:t>
            </w:r>
          </w:p>
        </w:tc>
        <w:tc>
          <w:tcPr>
            <w:tcW w:w="67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025C74">
              <w:rPr>
                <w:rFonts w:cstheme="minorHAnsi"/>
                <w:i/>
                <w:color w:val="000000"/>
              </w:rPr>
              <w:t>5</w:t>
            </w:r>
          </w:p>
        </w:tc>
        <w:tc>
          <w:tcPr>
            <w:tcW w:w="60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25</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16</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15</w:t>
            </w:r>
          </w:p>
        </w:tc>
        <w:tc>
          <w:tcPr>
            <w:tcW w:w="64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13</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25C74">
              <w:rPr>
                <w:rFonts w:cstheme="minorHAnsi"/>
                <w:b/>
                <w:color w:val="000000"/>
              </w:rPr>
              <w:t>20</w:t>
            </w:r>
          </w:p>
        </w:tc>
        <w:tc>
          <w:tcPr>
            <w:tcW w:w="641"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14</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19</w:t>
            </w:r>
          </w:p>
        </w:tc>
        <w:tc>
          <w:tcPr>
            <w:tcW w:w="885" w:type="dxa"/>
            <w:tcBorders>
              <w:lef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13</w:t>
            </w:r>
          </w:p>
        </w:tc>
      </w:tr>
      <w:tr w:rsidR="00025C74" w:rsidTr="007C140E">
        <w:tc>
          <w:tcPr>
            <w:cnfStyle w:val="001000000000" w:firstRow="0" w:lastRow="0" w:firstColumn="1" w:lastColumn="0" w:oddVBand="0" w:evenVBand="0" w:oddHBand="0" w:evenHBand="0" w:firstRowFirstColumn="0" w:firstRowLastColumn="0" w:lastRowFirstColumn="0" w:lastRowLastColumn="0"/>
            <w:tcW w:w="3119" w:type="dxa"/>
            <w:vAlign w:val="bottom"/>
          </w:tcPr>
          <w:p w:rsidR="00025C74" w:rsidRPr="00BC4B5C" w:rsidRDefault="00025C74" w:rsidP="00E3671E">
            <w:pPr>
              <w:spacing w:before="60" w:after="60"/>
              <w:rPr>
                <w:rFonts w:cstheme="minorHAnsi"/>
                <w:b w:val="0"/>
                <w:color w:val="000000"/>
                <w:sz w:val="20"/>
              </w:rPr>
            </w:pPr>
            <w:r>
              <w:rPr>
                <w:rFonts w:cstheme="minorHAnsi"/>
                <w:b w:val="0"/>
                <w:color w:val="000000"/>
                <w:sz w:val="20"/>
              </w:rPr>
              <w:t>Any training</w:t>
            </w:r>
          </w:p>
        </w:tc>
        <w:tc>
          <w:tcPr>
            <w:tcW w:w="899" w:type="dxa"/>
            <w:tcBorders>
              <w:right w:val="single" w:sz="8" w:space="0" w:color="73A5D8" w:themeColor="accent6"/>
            </w:tcBorders>
            <w:vAlign w:val="center"/>
          </w:tcPr>
          <w:p w:rsidR="00025C74" w:rsidRPr="00BC4B5C"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64</w:t>
            </w:r>
          </w:p>
        </w:tc>
        <w:tc>
          <w:tcPr>
            <w:tcW w:w="67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56</w:t>
            </w:r>
          </w:p>
        </w:tc>
        <w:tc>
          <w:tcPr>
            <w:tcW w:w="60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75</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25C74">
              <w:rPr>
                <w:rFonts w:cstheme="minorHAnsi"/>
                <w:b/>
                <w:color w:val="000000"/>
              </w:rPr>
              <w:t>70</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59</w:t>
            </w:r>
          </w:p>
        </w:tc>
        <w:tc>
          <w:tcPr>
            <w:tcW w:w="64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25C74">
              <w:rPr>
                <w:rFonts w:cstheme="minorHAnsi"/>
                <w:b/>
                <w:color w:val="000000"/>
              </w:rPr>
              <w:t>72</w:t>
            </w:r>
          </w:p>
        </w:tc>
        <w:tc>
          <w:tcPr>
            <w:tcW w:w="657"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025C74">
              <w:rPr>
                <w:rFonts w:cstheme="minorHAnsi"/>
                <w:i/>
                <w:color w:val="000000"/>
              </w:rPr>
              <w:t>56</w:t>
            </w:r>
          </w:p>
        </w:tc>
        <w:tc>
          <w:tcPr>
            <w:tcW w:w="641"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60</w:t>
            </w:r>
          </w:p>
        </w:tc>
        <w:tc>
          <w:tcPr>
            <w:tcW w:w="640"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25C74">
              <w:rPr>
                <w:rFonts w:cstheme="minorHAnsi"/>
                <w:color w:val="000000"/>
              </w:rPr>
              <w:t>60</w:t>
            </w:r>
          </w:p>
        </w:tc>
        <w:tc>
          <w:tcPr>
            <w:tcW w:w="885" w:type="dxa"/>
            <w:tcBorders>
              <w:top w:val="single" w:sz="8" w:space="0" w:color="73A5D8" w:themeColor="accent6"/>
              <w:left w:val="single" w:sz="8" w:space="0" w:color="73A5D8" w:themeColor="accent6"/>
              <w:bottom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25C74">
              <w:rPr>
                <w:rFonts w:cstheme="minorHAnsi"/>
                <w:b/>
                <w:color w:val="000000"/>
              </w:rPr>
              <w:t>93</w:t>
            </w:r>
          </w:p>
        </w:tc>
      </w:tr>
      <w:tr w:rsidR="00025C74" w:rsidTr="007C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bottom"/>
          </w:tcPr>
          <w:p w:rsidR="00025C74" w:rsidRPr="00BC4B5C" w:rsidRDefault="00025C74" w:rsidP="00E3671E">
            <w:pPr>
              <w:spacing w:before="60" w:after="60"/>
              <w:rPr>
                <w:rFonts w:cstheme="minorHAnsi"/>
                <w:b w:val="0"/>
                <w:color w:val="000000"/>
                <w:sz w:val="20"/>
              </w:rPr>
            </w:pPr>
            <w:r>
              <w:rPr>
                <w:rFonts w:cstheme="minorHAnsi"/>
                <w:b w:val="0"/>
                <w:color w:val="000000"/>
                <w:sz w:val="20"/>
              </w:rPr>
              <w:t>No training</w:t>
            </w:r>
          </w:p>
        </w:tc>
        <w:tc>
          <w:tcPr>
            <w:tcW w:w="899" w:type="dxa"/>
            <w:tcBorders>
              <w:right w:val="single" w:sz="8" w:space="0" w:color="73A5D8" w:themeColor="accent6"/>
            </w:tcBorders>
            <w:vAlign w:val="center"/>
          </w:tcPr>
          <w:p w:rsidR="00025C74" w:rsidRPr="00BC4B5C"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36</w:t>
            </w:r>
          </w:p>
        </w:tc>
        <w:tc>
          <w:tcPr>
            <w:tcW w:w="67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44</w:t>
            </w:r>
          </w:p>
        </w:tc>
        <w:tc>
          <w:tcPr>
            <w:tcW w:w="60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25</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025C74">
              <w:rPr>
                <w:rFonts w:cstheme="minorHAnsi"/>
                <w:i/>
                <w:color w:val="000000"/>
              </w:rPr>
              <w:t>30</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41</w:t>
            </w:r>
          </w:p>
        </w:tc>
        <w:tc>
          <w:tcPr>
            <w:tcW w:w="645"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025C74">
              <w:rPr>
                <w:rFonts w:cstheme="minorHAnsi"/>
                <w:i/>
                <w:color w:val="000000"/>
              </w:rPr>
              <w:t>28</w:t>
            </w:r>
          </w:p>
        </w:tc>
        <w:tc>
          <w:tcPr>
            <w:tcW w:w="657"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25C74">
              <w:rPr>
                <w:rFonts w:cstheme="minorHAnsi"/>
                <w:b/>
                <w:color w:val="000000"/>
              </w:rPr>
              <w:t>44</w:t>
            </w:r>
          </w:p>
        </w:tc>
        <w:tc>
          <w:tcPr>
            <w:tcW w:w="641"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40</w:t>
            </w:r>
          </w:p>
        </w:tc>
        <w:tc>
          <w:tcPr>
            <w:tcW w:w="640" w:type="dxa"/>
            <w:tcBorders>
              <w:left w:val="single" w:sz="8" w:space="0" w:color="73A5D8" w:themeColor="accent6"/>
              <w:righ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25C74">
              <w:rPr>
                <w:rFonts w:cstheme="minorHAnsi"/>
                <w:color w:val="000000"/>
              </w:rPr>
              <w:t>40</w:t>
            </w:r>
          </w:p>
        </w:tc>
        <w:tc>
          <w:tcPr>
            <w:tcW w:w="885" w:type="dxa"/>
            <w:tcBorders>
              <w:left w:val="single" w:sz="8" w:space="0" w:color="73A5D8" w:themeColor="accent6"/>
            </w:tcBorders>
            <w:vAlign w:val="center"/>
          </w:tcPr>
          <w:p w:rsidR="00025C74" w:rsidRPr="00025C74" w:rsidRDefault="00025C74" w:rsidP="00E3671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025C74">
              <w:rPr>
                <w:rFonts w:cstheme="minorHAnsi"/>
                <w:i/>
                <w:color w:val="000000"/>
              </w:rPr>
              <w:t>7</w:t>
            </w:r>
          </w:p>
        </w:tc>
      </w:tr>
      <w:tr w:rsidR="00025C74" w:rsidRPr="003C0922" w:rsidTr="007C140E">
        <w:tc>
          <w:tcPr>
            <w:cnfStyle w:val="001000000000" w:firstRow="0" w:lastRow="0" w:firstColumn="1" w:lastColumn="0" w:oddVBand="0" w:evenVBand="0" w:oddHBand="0" w:evenHBand="0" w:firstRowFirstColumn="0" w:firstRowLastColumn="0" w:lastRowFirstColumn="0" w:lastRowLastColumn="0"/>
            <w:tcW w:w="3119" w:type="dxa"/>
            <w:vAlign w:val="center"/>
          </w:tcPr>
          <w:p w:rsidR="00025C74" w:rsidRPr="003C0922" w:rsidRDefault="00025C74" w:rsidP="00715706">
            <w:pPr>
              <w:spacing w:before="60" w:after="6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899" w:type="dxa"/>
            <w:tcBorders>
              <w:righ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1515</w:t>
            </w:r>
          </w:p>
        </w:tc>
        <w:tc>
          <w:tcPr>
            <w:tcW w:w="677" w:type="dxa"/>
            <w:tcBorders>
              <w:left w:val="single" w:sz="8" w:space="0" w:color="73A5D8" w:themeColor="accent6"/>
              <w:righ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75</w:t>
            </w:r>
          </w:p>
        </w:tc>
        <w:tc>
          <w:tcPr>
            <w:tcW w:w="605" w:type="dxa"/>
            <w:tcBorders>
              <w:left w:val="single" w:sz="8" w:space="0" w:color="73A5D8" w:themeColor="accent6"/>
              <w:righ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18</w:t>
            </w:r>
          </w:p>
        </w:tc>
        <w:tc>
          <w:tcPr>
            <w:tcW w:w="657" w:type="dxa"/>
            <w:tcBorders>
              <w:left w:val="single" w:sz="8" w:space="0" w:color="73A5D8" w:themeColor="accent6"/>
              <w:righ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325</w:t>
            </w:r>
          </w:p>
        </w:tc>
        <w:tc>
          <w:tcPr>
            <w:tcW w:w="640" w:type="dxa"/>
            <w:tcBorders>
              <w:left w:val="single" w:sz="8" w:space="0" w:color="73A5D8" w:themeColor="accent6"/>
              <w:righ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89</w:t>
            </w:r>
          </w:p>
        </w:tc>
        <w:tc>
          <w:tcPr>
            <w:tcW w:w="645" w:type="dxa"/>
            <w:tcBorders>
              <w:lef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133</w:t>
            </w:r>
          </w:p>
        </w:tc>
        <w:tc>
          <w:tcPr>
            <w:tcW w:w="657" w:type="dxa"/>
            <w:tcBorders>
              <w:lef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461</w:t>
            </w:r>
          </w:p>
        </w:tc>
        <w:tc>
          <w:tcPr>
            <w:tcW w:w="641" w:type="dxa"/>
            <w:tcBorders>
              <w:lef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95</w:t>
            </w:r>
          </w:p>
        </w:tc>
        <w:tc>
          <w:tcPr>
            <w:tcW w:w="640" w:type="dxa"/>
            <w:tcBorders>
              <w:lef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88</w:t>
            </w:r>
          </w:p>
        </w:tc>
        <w:tc>
          <w:tcPr>
            <w:tcW w:w="885" w:type="dxa"/>
            <w:tcBorders>
              <w:left w:val="single" w:sz="8" w:space="0" w:color="73A5D8" w:themeColor="accent6"/>
            </w:tcBorders>
            <w:vAlign w:val="center"/>
          </w:tcPr>
          <w:p w:rsidR="00025C74" w:rsidRPr="003C0922" w:rsidRDefault="00025C74" w:rsidP="0071570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231</w:t>
            </w:r>
          </w:p>
        </w:tc>
      </w:tr>
    </w:tbl>
    <w:p w:rsidR="00025C74" w:rsidRDefault="00025C74" w:rsidP="00025C74">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025C74" w:rsidRPr="00515449" w:rsidRDefault="00EF4EE0" w:rsidP="00515449">
      <w:pPr>
        <w:pStyle w:val="BodyText"/>
      </w:pPr>
      <w:r>
        <w:t xml:space="preserve">By district, there is little variance in training levels.  The lowest proportion of employers arranging or funding any training is 60% in Lincoln, while the highest is 67% in North Lincolnshire. </w:t>
      </w:r>
    </w:p>
    <w:p w:rsidR="00310C0B" w:rsidRDefault="00310C0B" w:rsidP="00310C0B">
      <w:pPr>
        <w:pStyle w:val="Heading3"/>
      </w:pPr>
      <w:bookmarkStart w:id="68" w:name="_Toc394057559"/>
      <w:r>
        <w:t>Ways in which training is delivered</w:t>
      </w:r>
      <w:bookmarkEnd w:id="68"/>
    </w:p>
    <w:p w:rsidR="00310C0B" w:rsidRDefault="00885065" w:rsidP="00310C0B">
      <w:pPr>
        <w:pStyle w:val="BodyText"/>
      </w:pPr>
      <w:r>
        <w:t>External training providers used by employers are summarised in the figure below:</w:t>
      </w:r>
    </w:p>
    <w:p w:rsidR="00885065" w:rsidRDefault="00885065" w:rsidP="00885065">
      <w:pPr>
        <w:pStyle w:val="Caption"/>
      </w:pPr>
      <w:r>
        <w:lastRenderedPageBreak/>
        <w:t xml:space="preserve">Figure 8.8:  </w:t>
      </w:r>
      <w:r w:rsidR="0064376B">
        <w:t>External training providers used by businesses to train their staff – prompted, multiple response</w:t>
      </w:r>
      <w:r>
        <w:t xml:space="preserve"> (all employers) </w:t>
      </w:r>
    </w:p>
    <w:p w:rsidR="00885065" w:rsidRDefault="00CF2330" w:rsidP="00885065">
      <w:pPr>
        <w:pStyle w:val="Caption"/>
      </w:pPr>
      <w:r w:rsidRPr="00CF2330">
        <w:rPr>
          <w:noProof/>
          <w:lang w:eastAsia="en-GB"/>
        </w:rPr>
        <w:drawing>
          <wp:inline distT="0" distB="0" distL="0" distR="0">
            <wp:extent cx="5867400" cy="3067050"/>
            <wp:effectExtent l="0" t="0" r="0" b="0"/>
            <wp:docPr id="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85065" w:rsidRDefault="00A323D9" w:rsidP="00885065">
      <w:pPr>
        <w:pStyle w:val="BodyText"/>
        <w:rPr>
          <w:rFonts w:cs="Arial"/>
          <w:sz w:val="18"/>
        </w:rPr>
      </w:pPr>
      <w:r>
        <w:rPr>
          <w:rFonts w:cs="Arial"/>
          <w:sz w:val="18"/>
        </w:rPr>
        <w:t>Unweighted sample base = 1037</w:t>
      </w:r>
    </w:p>
    <w:p w:rsidR="00885065" w:rsidRDefault="00885065" w:rsidP="00885065">
      <w:pPr>
        <w:pStyle w:val="BodyText"/>
        <w:rPr>
          <w:rFonts w:cs="Arial"/>
          <w:sz w:val="18"/>
        </w:rPr>
      </w:pPr>
      <w:r>
        <w:rPr>
          <w:rFonts w:cs="Arial"/>
          <w:sz w:val="18"/>
        </w:rPr>
        <w:t>QC</w:t>
      </w:r>
      <w:r w:rsidR="0064376B">
        <w:rPr>
          <w:rFonts w:cs="Arial"/>
          <w:sz w:val="18"/>
        </w:rPr>
        <w:t>8</w:t>
      </w:r>
      <w:r>
        <w:rPr>
          <w:rFonts w:cs="Arial"/>
          <w:sz w:val="18"/>
        </w:rPr>
        <w:t xml:space="preserve">.  </w:t>
      </w:r>
      <w:r w:rsidR="0064376B">
        <w:rPr>
          <w:rFonts w:cs="Arial"/>
          <w:sz w:val="18"/>
        </w:rPr>
        <w:t>Which, if any, of the following external training providers does your business use to train its staff</w:t>
      </w:r>
      <w:r>
        <w:rPr>
          <w:rFonts w:cs="Arial"/>
          <w:sz w:val="18"/>
        </w:rPr>
        <w:t>?</w:t>
      </w:r>
    </w:p>
    <w:p w:rsidR="00885065" w:rsidRDefault="00A323D9" w:rsidP="00310C0B">
      <w:pPr>
        <w:pStyle w:val="BodyText"/>
      </w:pPr>
      <w:r>
        <w:t>Private sector training providers are more frequently used to deliver training than those in the public sector, including FE/HE institutions.</w:t>
      </w:r>
    </w:p>
    <w:p w:rsidR="00A323D9" w:rsidRDefault="00A323D9" w:rsidP="00310C0B">
      <w:pPr>
        <w:pStyle w:val="BodyText"/>
      </w:pPr>
      <w:r>
        <w:t xml:space="preserve">One in five employers that </w:t>
      </w:r>
      <w:r w:rsidR="00775A74">
        <w:t xml:space="preserve">have </w:t>
      </w:r>
      <w:r>
        <w:t>train</w:t>
      </w:r>
      <w:r w:rsidR="00775A74">
        <w:t>ed their staff in the last year</w:t>
      </w:r>
      <w:r>
        <w:t xml:space="preserve"> (22%) arrange all their training in-house and this proportion </w:t>
      </w:r>
      <w:r w:rsidR="00715706">
        <w:t xml:space="preserve">is highest amongst employers with fewer </w:t>
      </w:r>
      <w:r w:rsidR="001E6A86">
        <w:t>than 10 staff at the site (26%) and increases to 38% of distribution/hotels/restaurant businesses.</w:t>
      </w:r>
    </w:p>
    <w:p w:rsidR="00715706" w:rsidRDefault="00715706" w:rsidP="00310C0B">
      <w:pPr>
        <w:pStyle w:val="BodyText"/>
      </w:pPr>
      <w:r>
        <w:t>Local FE colleges</w:t>
      </w:r>
      <w:r w:rsidR="00775A74">
        <w:t xml:space="preserve"> have been used by one in four employers (25%) that have trained any staff in the last 12 months.  This proportion increases to two in five employers with 25 or more staff (39%) and half of public administration/education/health businesses that have trained (48%). </w:t>
      </w:r>
    </w:p>
    <w:p w:rsidR="00310C0B" w:rsidRDefault="00310C0B" w:rsidP="00310C0B">
      <w:pPr>
        <w:pStyle w:val="Heading3"/>
      </w:pPr>
      <w:bookmarkStart w:id="69" w:name="_Toc394057560"/>
      <w:r>
        <w:t>Assessment of training delivered</w:t>
      </w:r>
      <w:bookmarkEnd w:id="69"/>
    </w:p>
    <w:p w:rsidR="00310C0B" w:rsidRDefault="00665A46" w:rsidP="00310C0B">
      <w:pPr>
        <w:pStyle w:val="BodyText"/>
      </w:pPr>
      <w:r>
        <w:t>Two-thirds of employers that have funded or arranged any training for staff in the last 12 months (68%), formally assess whether any training and development has had an impact on an employee’s performance.</w:t>
      </w:r>
    </w:p>
    <w:p w:rsidR="00665A46" w:rsidRDefault="00643D17" w:rsidP="00310C0B">
      <w:pPr>
        <w:pStyle w:val="BodyText"/>
      </w:pPr>
      <w:r>
        <w:t>This proportion increases to 75% of employers with between 10 and 24 staff and 83% of those with 25 or more, while it is significantly higher than average within the public administration/education/health sector (87%).</w:t>
      </w:r>
    </w:p>
    <w:p w:rsidR="00643D17" w:rsidRDefault="00643D17" w:rsidP="00310C0B">
      <w:pPr>
        <w:pStyle w:val="BodyText"/>
      </w:pPr>
      <w:r>
        <w:t>Assessment of the impact of training is more common among employers that have funded or arranged off-the-job training than where only on-the-job training has been provided (70%, compared with 63%).</w:t>
      </w:r>
    </w:p>
    <w:p w:rsidR="00643D17" w:rsidRDefault="00643D17" w:rsidP="00310C0B">
      <w:pPr>
        <w:pStyle w:val="BodyText"/>
      </w:pPr>
    </w:p>
    <w:p w:rsidR="00310C0B" w:rsidRDefault="00310C0B" w:rsidP="00310C0B">
      <w:pPr>
        <w:pStyle w:val="Heading3"/>
      </w:pPr>
      <w:bookmarkStart w:id="70" w:name="_Toc394057561"/>
      <w:r>
        <w:lastRenderedPageBreak/>
        <w:t>Obstacle to training delivery</w:t>
      </w:r>
      <w:bookmarkEnd w:id="70"/>
    </w:p>
    <w:p w:rsidR="00310C0B" w:rsidRDefault="009F732A" w:rsidP="00310C0B">
      <w:pPr>
        <w:pStyle w:val="BodyText"/>
      </w:pPr>
      <w:r>
        <w:t xml:space="preserve">All </w:t>
      </w:r>
      <w:r w:rsidR="00E3671E">
        <w:t>employers</w:t>
      </w:r>
      <w:r>
        <w:t xml:space="preserve"> were asked about obstacles to delivering training.  They were read out a list of potential reasons for difficulties.  More than half (54%) did not consider any a problem, while a further 12% said they had not offered training.</w:t>
      </w:r>
    </w:p>
    <w:p w:rsidR="009F732A" w:rsidRDefault="00987784" w:rsidP="00310C0B">
      <w:pPr>
        <w:pStyle w:val="BodyText"/>
      </w:pPr>
      <w:r>
        <w:t>Typically, employers that have not funded or arranged training in the last 12 months tend to cite many of the reasons less frequently.</w:t>
      </w:r>
      <w:r w:rsidR="00585783">
        <w:t xml:space="preserve">  This reflects the fact that they are less likely to have considered the possibility and to have become aware of any issues in obtaining training.</w:t>
      </w:r>
    </w:p>
    <w:p w:rsidR="007C14FE" w:rsidRDefault="007C14FE" w:rsidP="007C14FE">
      <w:pPr>
        <w:pStyle w:val="Caption"/>
      </w:pPr>
      <w:r>
        <w:t xml:space="preserve">Figure 8.9:  Reasons why employers have found it difficult to provide or source training for their staff – prompted, multiple response (all employers) </w:t>
      </w:r>
    </w:p>
    <w:p w:rsidR="007C14FE" w:rsidRDefault="007C14FE" w:rsidP="007C14FE">
      <w:pPr>
        <w:pStyle w:val="Caption"/>
      </w:pPr>
      <w:r w:rsidRPr="007C14FE">
        <w:rPr>
          <w:noProof/>
          <w:lang w:eastAsia="en-GB"/>
        </w:rPr>
        <w:drawing>
          <wp:inline distT="0" distB="0" distL="0" distR="0">
            <wp:extent cx="5848350" cy="4295775"/>
            <wp:effectExtent l="1905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C14FE" w:rsidRDefault="007C14FE" w:rsidP="007C14FE">
      <w:pPr>
        <w:pStyle w:val="BodyText"/>
        <w:rPr>
          <w:rFonts w:cs="Arial"/>
          <w:sz w:val="18"/>
        </w:rPr>
      </w:pPr>
      <w:r>
        <w:rPr>
          <w:rFonts w:cs="Arial"/>
          <w:sz w:val="18"/>
        </w:rPr>
        <w:t>Unweighted sample bases in parentheses</w:t>
      </w:r>
    </w:p>
    <w:p w:rsidR="007C14FE" w:rsidRDefault="007C14FE" w:rsidP="007C14FE">
      <w:pPr>
        <w:pStyle w:val="BodyText"/>
        <w:rPr>
          <w:rFonts w:cs="Arial"/>
          <w:sz w:val="18"/>
        </w:rPr>
      </w:pPr>
      <w:r>
        <w:rPr>
          <w:rFonts w:cs="Arial"/>
          <w:sz w:val="18"/>
        </w:rPr>
        <w:t>QC9.  Have you found it difficult to provide or source training for your staff for any of the following reasons?</w:t>
      </w:r>
    </w:p>
    <w:p w:rsidR="007C14FE" w:rsidRDefault="00DD19E7" w:rsidP="00310C0B">
      <w:pPr>
        <w:pStyle w:val="BodyText"/>
        <w:rPr>
          <w:i/>
          <w:sz w:val="1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F85365" w:rsidRDefault="00F85365" w:rsidP="00F85365">
      <w:pPr>
        <w:pStyle w:val="BodyText"/>
      </w:pPr>
      <w:r>
        <w:t>Amongst those highlighting difficulties in providing or sourcing training, more than two-fifths of employers (44%) cite the availability of training provision locally as an issue.  However, a similar proportion cite the cost of training (45%) and more than half of those citing obstacles (53%) cite difficulties in sparing people from their jobs to undertake training.</w:t>
      </w:r>
    </w:p>
    <w:p w:rsidR="002C5495" w:rsidRDefault="002C5495" w:rsidP="00F85365">
      <w:pPr>
        <w:pStyle w:val="BodyText"/>
      </w:pPr>
      <w:r>
        <w:t>Employers in the district of East Lindsey are significantly more likely than average to consider the availability of training provision locally as an issue (20%).  By sector, this proportion is highest in public administration/education/health (31%) and construction (21%).</w:t>
      </w:r>
    </w:p>
    <w:p w:rsidR="00310C0B" w:rsidRDefault="00310C0B" w:rsidP="00310C0B">
      <w:pPr>
        <w:pStyle w:val="Heading1"/>
      </w:pPr>
      <w:bookmarkStart w:id="71" w:name="_Toc394057562"/>
      <w:r>
        <w:lastRenderedPageBreak/>
        <w:t>The Environment</w:t>
      </w:r>
      <w:bookmarkEnd w:id="71"/>
    </w:p>
    <w:p w:rsidR="00651896" w:rsidRDefault="00651896" w:rsidP="00651896"/>
    <w:p w:rsidR="00310C0B" w:rsidRDefault="00310C0B" w:rsidP="00310C0B">
      <w:pPr>
        <w:pStyle w:val="Heading2"/>
      </w:pPr>
      <w:bookmarkStart w:id="72" w:name="_Toc394057563"/>
      <w:r>
        <w:t>Key findings</w:t>
      </w:r>
      <w:bookmarkEnd w:id="72"/>
    </w:p>
    <w:p w:rsidR="00E3671E" w:rsidRDefault="00E3671E" w:rsidP="00E3671E">
      <w:pPr>
        <w:pStyle w:val="BodyText"/>
      </w:pPr>
      <w:r>
        <w:t>A third of Greater Lincolnshire employers (33%) report having introduced any energy efficiency measures in the last 12 months.</w:t>
      </w:r>
    </w:p>
    <w:p w:rsidR="00E3671E" w:rsidRDefault="00E3671E" w:rsidP="00E3671E">
      <w:pPr>
        <w:pStyle w:val="BodyText"/>
      </w:pPr>
      <w:r>
        <w:t>Lighting is the most common area of investment (82%), while some two-thirds of employers (65%) have undertaken recycling or waste reduction measures.  Half have taken action with regard to their heating (50%) and/or energy efficient measures (49%).  Around three in ten employers that have undertaken energy efficiency measures have improved their insulation (31%) and/or water conservation (29%).</w:t>
      </w:r>
    </w:p>
    <w:p w:rsidR="00E3671E" w:rsidRDefault="00E3671E" w:rsidP="00E3671E">
      <w:pPr>
        <w:pStyle w:val="BodyText"/>
      </w:pPr>
      <w:r>
        <w:t xml:space="preserve">Nearly all employers (96%) agree that their business is taking some action or has a pro-active approach to environmental issues and energy efficiency.  </w:t>
      </w:r>
    </w:p>
    <w:p w:rsidR="00E3671E" w:rsidRDefault="00E3671E" w:rsidP="00E3671E">
      <w:pPr>
        <w:pStyle w:val="BodyText"/>
      </w:pPr>
      <w:r>
        <w:t xml:space="preserve">A quarter of employers </w:t>
      </w:r>
      <w:r w:rsidRPr="006E2A81">
        <w:rPr>
          <w:i/>
        </w:rPr>
        <w:t>strongly</w:t>
      </w:r>
      <w:r>
        <w:t xml:space="preserve"> agreed that their business actively works to reduce company waste (27%) and actively tries to improve their energy efficiency (24%).  Fewer strongly agreed that their business considers the environmental impact of their buying decisions (17%) and actively tries to reduce work-related car emissions (16%).</w:t>
      </w:r>
    </w:p>
    <w:p w:rsidR="00E3671E" w:rsidRDefault="00E3671E" w:rsidP="00E3671E">
      <w:pPr>
        <w:pStyle w:val="BodyText"/>
      </w:pPr>
      <w:r>
        <w:t xml:space="preserve">Overall, the majority of employers agree at all that their business is actively working to reduce company waste (91%) and/or actively trying to improve their energy efficiency (88%).  </w:t>
      </w:r>
    </w:p>
    <w:p w:rsidR="00E3671E" w:rsidRDefault="00E3671E" w:rsidP="00E3671E">
      <w:pPr>
        <w:pStyle w:val="BodyText"/>
      </w:pPr>
      <w:r>
        <w:t xml:space="preserve">Overall, 41% of employers considered the issue of flood risk as being of relevance to their business. More than half the employers (57%) agreed that their business is concerned about flood risk.  A similar proportion (59%) of those that provided a response agreed that the issue of flooding is greater now than previously, while a smaller proportion (48%) agreed that their business is actively trying to reduce the possibility of flooding.  However, just one in five (21%) employers agreed that the risk of flooding is having an impact on their business planning.  </w:t>
      </w:r>
    </w:p>
    <w:p w:rsidR="00310C0B" w:rsidRDefault="00310C0B" w:rsidP="00310C0B">
      <w:pPr>
        <w:pStyle w:val="Heading2"/>
      </w:pPr>
      <w:bookmarkStart w:id="73" w:name="_Toc394057564"/>
      <w:r>
        <w:t>Introduction of energy efficient measures</w:t>
      </w:r>
      <w:bookmarkEnd w:id="73"/>
    </w:p>
    <w:p w:rsidR="00A9069B" w:rsidRDefault="00A9069B" w:rsidP="00310C0B">
      <w:pPr>
        <w:pStyle w:val="BodyText"/>
      </w:pPr>
      <w:r>
        <w:t>A third of Greater Lincolnshire employers (33%) report having introduced any energy efficiency measures in the last 12 months.</w:t>
      </w:r>
    </w:p>
    <w:p w:rsidR="00A9069B" w:rsidRDefault="00A9069B" w:rsidP="00310C0B">
      <w:pPr>
        <w:pStyle w:val="BodyText"/>
      </w:pPr>
      <w:r>
        <w:t>This proportion is similar across the area, although significantly higher than average in South Kesteven (39%).  It increases with business size, from 30% of employers with between 2 and 9 employees to 65% of those with 100 or more staff.</w:t>
      </w:r>
    </w:p>
    <w:p w:rsidR="00A9069B" w:rsidRDefault="00A9069B" w:rsidP="00310C0B">
      <w:pPr>
        <w:pStyle w:val="BodyText"/>
      </w:pPr>
      <w:r>
        <w:t>By sector, employers within distribution/hotels/restaurants are significantly more likely than average to have introduced energy efficiency measures in the last 12 months (39%), while those in banking/finance/insurance are least likely to have done so (24%).</w:t>
      </w:r>
    </w:p>
    <w:p w:rsidR="00B118DB" w:rsidRDefault="00B118DB" w:rsidP="00B118DB">
      <w:pPr>
        <w:pStyle w:val="Caption"/>
      </w:pPr>
      <w:r>
        <w:lastRenderedPageBreak/>
        <w:t xml:space="preserve">Figure 9.1:  Proportion of employers that have introduced any energy efficiency measures in the last 12 months, by size and sector (all employers) </w:t>
      </w:r>
    </w:p>
    <w:p w:rsidR="00B118DB" w:rsidRDefault="00B118DB" w:rsidP="00B118DB">
      <w:pPr>
        <w:pStyle w:val="Caption"/>
      </w:pPr>
      <w:r w:rsidRPr="00B118DB">
        <w:rPr>
          <w:noProof/>
          <w:lang w:eastAsia="en-GB"/>
        </w:rPr>
        <w:drawing>
          <wp:inline distT="0" distB="0" distL="0" distR="0">
            <wp:extent cx="5695950" cy="3743325"/>
            <wp:effectExtent l="0" t="0" r="0"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118DB" w:rsidRDefault="00B118DB" w:rsidP="00B118DB">
      <w:pPr>
        <w:pStyle w:val="BodyText"/>
        <w:rPr>
          <w:rFonts w:cs="Arial"/>
          <w:sz w:val="18"/>
        </w:rPr>
      </w:pPr>
      <w:r>
        <w:rPr>
          <w:rFonts w:cs="Arial"/>
          <w:sz w:val="18"/>
        </w:rPr>
        <w:t>Unweighted sample bases in parentheses</w:t>
      </w:r>
    </w:p>
    <w:p w:rsidR="00B118DB" w:rsidRDefault="00B118DB" w:rsidP="00B118DB">
      <w:pPr>
        <w:pStyle w:val="BodyText"/>
        <w:rPr>
          <w:rFonts w:cs="Arial"/>
          <w:sz w:val="18"/>
        </w:rPr>
      </w:pPr>
      <w:r>
        <w:rPr>
          <w:rFonts w:cs="Arial"/>
          <w:sz w:val="18"/>
        </w:rPr>
        <w:t>QE24.  Thinking now about environmental issues and energy efficiency within your business, has your business introduced any energy efficiency measures in the last 12 months?</w:t>
      </w:r>
    </w:p>
    <w:p w:rsidR="00B118DB" w:rsidRDefault="00B118DB" w:rsidP="00B118DB">
      <w:pPr>
        <w:pStyle w:val="BodyText"/>
        <w:rPr>
          <w:i/>
          <w:sz w:val="1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A9069B" w:rsidRDefault="00B042E0" w:rsidP="00310C0B">
      <w:pPr>
        <w:pStyle w:val="BodyText"/>
      </w:pPr>
      <w:r>
        <w:t>In terms of the areas in which employers have invested, lighting is the most common (82%).  Some two-thirds of employers (65%) have undertaken recycling or waste reduction measures, while half have taken action with regard to their heating (50%) and/or energy efficient measures (49%).</w:t>
      </w:r>
      <w:r w:rsidR="00FB638D">
        <w:t xml:space="preserve">  Around three in ten employers that have undertaken energy efficiency measures have improved their insulation (31%) and/or water conservation (29%).</w:t>
      </w:r>
    </w:p>
    <w:p w:rsidR="00E66913" w:rsidRDefault="00E66913" w:rsidP="00E66913">
      <w:pPr>
        <w:pStyle w:val="Caption"/>
      </w:pPr>
      <w:r>
        <w:lastRenderedPageBreak/>
        <w:t xml:space="preserve">Figure 9.2:  Energy efficiency measures that employers have undertaken (where introduced energy efficiency measures) </w:t>
      </w:r>
    </w:p>
    <w:p w:rsidR="00E66913" w:rsidRDefault="00D45C0B" w:rsidP="00E66913">
      <w:pPr>
        <w:pStyle w:val="Caption"/>
      </w:pPr>
      <w:r w:rsidRPr="00D45C0B">
        <w:rPr>
          <w:noProof/>
          <w:lang w:eastAsia="en-GB"/>
        </w:rPr>
        <w:drawing>
          <wp:inline distT="0" distB="0" distL="0" distR="0">
            <wp:extent cx="5610225" cy="2943225"/>
            <wp:effectExtent l="0" t="0" r="0" b="0"/>
            <wp:docPr id="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66913" w:rsidRDefault="00E66913" w:rsidP="00E66913">
      <w:pPr>
        <w:pStyle w:val="BodyText"/>
        <w:rPr>
          <w:rFonts w:cs="Arial"/>
          <w:sz w:val="18"/>
        </w:rPr>
      </w:pPr>
      <w:r>
        <w:rPr>
          <w:rFonts w:cs="Arial"/>
          <w:sz w:val="18"/>
        </w:rPr>
        <w:t>Unweighted sample base = 507</w:t>
      </w:r>
    </w:p>
    <w:p w:rsidR="00E66913" w:rsidRDefault="00E66913" w:rsidP="00E66913">
      <w:pPr>
        <w:pStyle w:val="BodyText"/>
        <w:rPr>
          <w:rFonts w:cs="Arial"/>
          <w:sz w:val="18"/>
        </w:rPr>
      </w:pPr>
      <w:r>
        <w:rPr>
          <w:rFonts w:cs="Arial"/>
          <w:sz w:val="18"/>
        </w:rPr>
        <w:t xml:space="preserve">QE25.  </w:t>
      </w:r>
      <w:r w:rsidR="00D45C0B">
        <w:rPr>
          <w:rFonts w:cs="Arial"/>
          <w:sz w:val="18"/>
        </w:rPr>
        <w:t>Which of the following areas have you invested in energy efficiency measures</w:t>
      </w:r>
      <w:r>
        <w:rPr>
          <w:rFonts w:cs="Arial"/>
          <w:sz w:val="18"/>
        </w:rPr>
        <w:t>?</w:t>
      </w:r>
    </w:p>
    <w:p w:rsidR="00B042E0" w:rsidRDefault="00B042E0" w:rsidP="00310C0B">
      <w:pPr>
        <w:pStyle w:val="BodyText"/>
      </w:pPr>
    </w:p>
    <w:p w:rsidR="00310C0B" w:rsidRDefault="00EB120D" w:rsidP="00310C0B">
      <w:pPr>
        <w:pStyle w:val="Heading2"/>
      </w:pPr>
      <w:bookmarkStart w:id="74" w:name="_Toc394057565"/>
      <w:r>
        <w:t>Steps taken by the business to reduce their impact on the environment</w:t>
      </w:r>
      <w:bookmarkEnd w:id="74"/>
    </w:p>
    <w:p w:rsidR="00310C0B" w:rsidRDefault="00E3671E" w:rsidP="00310C0B">
      <w:pPr>
        <w:pStyle w:val="BodyText"/>
      </w:pPr>
      <w:r>
        <w:t>Employers</w:t>
      </w:r>
      <w:r w:rsidR="00FB638D">
        <w:t xml:space="preserve"> were asked the extent to which they agree or disagree with a few statements about environmental issues and energy efficiency.</w:t>
      </w:r>
    </w:p>
    <w:p w:rsidR="006E2A81" w:rsidRDefault="006E2A81" w:rsidP="006E2A81">
      <w:pPr>
        <w:pStyle w:val="BodyText"/>
      </w:pPr>
      <w:r>
        <w:t xml:space="preserve">A quarter of </w:t>
      </w:r>
      <w:r w:rsidR="00E3671E">
        <w:t>employers</w:t>
      </w:r>
      <w:r>
        <w:t xml:space="preserve"> </w:t>
      </w:r>
      <w:r w:rsidRPr="006E2A81">
        <w:rPr>
          <w:i/>
        </w:rPr>
        <w:t>strongly</w:t>
      </w:r>
      <w:r>
        <w:t xml:space="preserve"> agreed that their business actively works to reduce company waste (27%) and actively tries to improve their energy efficiency (24%).  Fewer strongly agreed that their business considers the environmental impact of their buying decisions (17%) and actively tries to reduce work-related car emissions (16%).</w:t>
      </w:r>
    </w:p>
    <w:p w:rsidR="006E2A81" w:rsidRDefault="006E2A81" w:rsidP="006E2A81">
      <w:pPr>
        <w:pStyle w:val="BodyText"/>
      </w:pPr>
      <w:r>
        <w:t xml:space="preserve">Overall, the majority of </w:t>
      </w:r>
      <w:r w:rsidR="00E3671E">
        <w:t>employers</w:t>
      </w:r>
      <w:r>
        <w:t xml:space="preserve"> agree at all that their business is actively working to reduce company waste (91%) and/or actively trying to improve their energy efficiency (88%).  </w:t>
      </w:r>
    </w:p>
    <w:p w:rsidR="006E2A81" w:rsidRDefault="006E2A81" w:rsidP="006E2A81">
      <w:pPr>
        <w:pStyle w:val="BodyText"/>
      </w:pPr>
      <w:r>
        <w:t xml:space="preserve">Nearly all </w:t>
      </w:r>
      <w:r w:rsidR="00E3671E">
        <w:t>employers</w:t>
      </w:r>
      <w:r>
        <w:t xml:space="preserve"> agree with any (96%), while half (53%) agree with all the statements and just 4% do not agree with any.</w:t>
      </w:r>
    </w:p>
    <w:p w:rsidR="006258DB" w:rsidRDefault="00935623" w:rsidP="00310C0B">
      <w:pPr>
        <w:pStyle w:val="BodyText"/>
      </w:pPr>
      <w:r>
        <w:t>R</w:t>
      </w:r>
      <w:r w:rsidR="006258DB">
        <w:t>esponses are summarised in the figure that follows:</w:t>
      </w:r>
    </w:p>
    <w:p w:rsidR="006258DB" w:rsidRDefault="006258DB" w:rsidP="006258DB">
      <w:pPr>
        <w:pStyle w:val="Caption"/>
      </w:pPr>
      <w:r>
        <w:lastRenderedPageBreak/>
        <w:t xml:space="preserve">Figure 9.3:  Extent to which employers agree or disagree with statements about their contribution to green issues (all employers) </w:t>
      </w:r>
    </w:p>
    <w:p w:rsidR="006258DB" w:rsidRDefault="006258DB" w:rsidP="006258DB">
      <w:pPr>
        <w:pStyle w:val="Caption"/>
      </w:pPr>
      <w:r w:rsidRPr="006258DB">
        <w:rPr>
          <w:noProof/>
          <w:lang w:eastAsia="en-GB"/>
        </w:rPr>
        <w:drawing>
          <wp:inline distT="0" distB="0" distL="0" distR="0">
            <wp:extent cx="5915025" cy="3714750"/>
            <wp:effectExtent l="0" t="0" r="0" b="0"/>
            <wp:docPr id="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258DB" w:rsidRDefault="006258DB" w:rsidP="006258DB">
      <w:pPr>
        <w:pStyle w:val="BodyText"/>
        <w:rPr>
          <w:rFonts w:cs="Arial"/>
          <w:sz w:val="18"/>
        </w:rPr>
      </w:pPr>
      <w:r>
        <w:rPr>
          <w:rFonts w:cs="Arial"/>
          <w:sz w:val="18"/>
        </w:rPr>
        <w:t>Unweighted sample base = 1515</w:t>
      </w:r>
    </w:p>
    <w:p w:rsidR="006258DB" w:rsidRDefault="006258DB" w:rsidP="006258DB">
      <w:pPr>
        <w:pStyle w:val="BodyText"/>
        <w:rPr>
          <w:rFonts w:cs="Arial"/>
          <w:sz w:val="18"/>
        </w:rPr>
      </w:pPr>
      <w:r>
        <w:rPr>
          <w:rFonts w:cs="Arial"/>
          <w:sz w:val="18"/>
        </w:rPr>
        <w:t>QE26.  To what extent would you agree or disagree with the following statements?</w:t>
      </w:r>
    </w:p>
    <w:p w:rsidR="006258DB" w:rsidRDefault="00935623" w:rsidP="00310C0B">
      <w:pPr>
        <w:pStyle w:val="BodyText"/>
      </w:pPr>
      <w:r>
        <w:t xml:space="preserve">Propensity to strongly agree with any of the statements increases with business size, suggesting that larger businesses are more conscious of contributing to green issues and reducing their impact on the environment.  </w:t>
      </w:r>
    </w:p>
    <w:p w:rsidR="00935623" w:rsidRDefault="00935623" w:rsidP="00310C0B">
      <w:pPr>
        <w:pStyle w:val="BodyText"/>
      </w:pPr>
      <w:r>
        <w:t>Businesses in production/construction sectors are significantly more likely than those in services to strongly agree with any of the statements.  This is likely to reflect both larger average business size but also the extent to which these production/construction sectors undertake activities that have a more visible, direct and potentially detrimental impact on the environment and, as a result, these businesses are more aware of the need to contribute towards green issues.</w:t>
      </w:r>
    </w:p>
    <w:p w:rsidR="00935623" w:rsidRDefault="00935623" w:rsidP="00310C0B">
      <w:pPr>
        <w:pStyle w:val="BodyText"/>
      </w:pPr>
    </w:p>
    <w:p w:rsidR="00935623" w:rsidRDefault="00935623" w:rsidP="00310C0B">
      <w:pPr>
        <w:pStyle w:val="BodyText"/>
      </w:pPr>
    </w:p>
    <w:p w:rsidR="00935623" w:rsidRDefault="00935623">
      <w:pPr>
        <w:spacing w:after="360"/>
        <w:rPr>
          <w:b/>
          <w:bCs/>
          <w:szCs w:val="18"/>
        </w:rPr>
      </w:pPr>
      <w:r>
        <w:br w:type="page"/>
      </w:r>
    </w:p>
    <w:p w:rsidR="006258DB" w:rsidRDefault="006258DB" w:rsidP="006258DB">
      <w:pPr>
        <w:pStyle w:val="Caption"/>
      </w:pPr>
      <w:r>
        <w:lastRenderedPageBreak/>
        <w:t xml:space="preserve">Table 9.4:  </w:t>
      </w:r>
      <w:r w:rsidR="005208E3">
        <w:t xml:space="preserve">Proportion of </w:t>
      </w:r>
      <w:r>
        <w:t xml:space="preserve">employers </w:t>
      </w:r>
      <w:r w:rsidR="005208E3">
        <w:t>that strongly agree</w:t>
      </w:r>
      <w:r>
        <w:t xml:space="preserve"> with statements about their contribution to green issues, by size and broad industry group (all employers)</w:t>
      </w:r>
    </w:p>
    <w:tbl>
      <w:tblPr>
        <w:tblStyle w:val="LightList-Accent6"/>
        <w:tblW w:w="10206" w:type="dxa"/>
        <w:tblInd w:w="-459" w:type="dxa"/>
        <w:tblLayout w:type="fixed"/>
        <w:tblLook w:val="04A0" w:firstRow="1" w:lastRow="0" w:firstColumn="1" w:lastColumn="0" w:noHBand="0" w:noVBand="1"/>
      </w:tblPr>
      <w:tblGrid>
        <w:gridCol w:w="2694"/>
        <w:gridCol w:w="1093"/>
        <w:gridCol w:w="1034"/>
        <w:gridCol w:w="1134"/>
        <w:gridCol w:w="1134"/>
        <w:gridCol w:w="1134"/>
        <w:gridCol w:w="991"/>
        <w:gridCol w:w="992"/>
      </w:tblGrid>
      <w:tr w:rsidR="007561A8" w:rsidRPr="003C0922" w:rsidTr="007807B3">
        <w:trPr>
          <w:cnfStyle w:val="100000000000" w:firstRow="1" w:lastRow="0" w:firstColumn="0" w:lastColumn="0" w:oddVBand="0" w:evenVBand="0" w:oddHBand="0" w:evenHBand="0" w:firstRowFirstColumn="0" w:firstRowLastColumn="0" w:lastRowFirstColumn="0" w:lastRowLastColumn="0"/>
          <w:cantSplit/>
          <w:trHeight w:val="325"/>
        </w:trPr>
        <w:tc>
          <w:tcPr>
            <w:cnfStyle w:val="001000000000" w:firstRow="0" w:lastRow="0" w:firstColumn="1" w:lastColumn="0" w:oddVBand="0" w:evenVBand="0" w:oddHBand="0" w:evenHBand="0" w:firstRowFirstColumn="0" w:firstRowLastColumn="0" w:lastRowFirstColumn="0" w:lastRowLastColumn="0"/>
            <w:tcW w:w="2694" w:type="dxa"/>
            <w:vAlign w:val="bottom"/>
          </w:tcPr>
          <w:p w:rsidR="007561A8" w:rsidRDefault="007561A8" w:rsidP="006258DB">
            <w:pPr>
              <w:spacing w:before="60" w:after="60"/>
              <w:rPr>
                <w:rFonts w:cstheme="minorHAnsi"/>
                <w:b w:val="0"/>
                <w:sz w:val="20"/>
              </w:rPr>
            </w:pPr>
          </w:p>
        </w:tc>
        <w:tc>
          <w:tcPr>
            <w:tcW w:w="1093" w:type="dxa"/>
            <w:vMerge w:val="restart"/>
            <w:textDirection w:val="tbRl"/>
            <w:vAlign w:val="center"/>
          </w:tcPr>
          <w:p w:rsidR="007561A8" w:rsidRPr="007561A8" w:rsidRDefault="007561A8" w:rsidP="007561A8">
            <w:pPr>
              <w:spacing w:before="60" w:after="60"/>
              <w:ind w:left="113" w:right="113"/>
              <w:jc w:val="right"/>
              <w:cnfStyle w:val="100000000000" w:firstRow="1" w:lastRow="0" w:firstColumn="0" w:lastColumn="0" w:oddVBand="0" w:evenVBand="0" w:oddHBand="0" w:evenHBand="0" w:firstRowFirstColumn="0" w:firstRowLastColumn="0" w:lastRowFirstColumn="0" w:lastRowLastColumn="0"/>
              <w:rPr>
                <w:rFonts w:cstheme="minorHAnsi"/>
              </w:rPr>
            </w:pPr>
            <w:r w:rsidRPr="007561A8">
              <w:rPr>
                <w:rFonts w:cstheme="minorHAnsi"/>
              </w:rPr>
              <w:t>Greater Lincolnshire</w:t>
            </w:r>
          </w:p>
        </w:tc>
        <w:tc>
          <w:tcPr>
            <w:tcW w:w="4436" w:type="dxa"/>
            <w:gridSpan w:val="4"/>
            <w:tcBorders>
              <w:bottom w:val="single" w:sz="8" w:space="0" w:color="73A5D8" w:themeColor="accent6"/>
            </w:tcBorders>
            <w:vAlign w:val="bottom"/>
          </w:tcPr>
          <w:p w:rsidR="007561A8" w:rsidRPr="005208E3" w:rsidRDefault="007561A8" w:rsidP="007561A8">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5208E3">
              <w:rPr>
                <w:rFonts w:eastAsia="Times New Roman" w:cstheme="minorHAnsi"/>
                <w:lang w:eastAsia="en-GB"/>
              </w:rPr>
              <w:t>No. of employees</w:t>
            </w:r>
          </w:p>
        </w:tc>
        <w:tc>
          <w:tcPr>
            <w:tcW w:w="991" w:type="dxa"/>
            <w:vMerge w:val="restart"/>
            <w:textDirection w:val="tbRl"/>
            <w:vAlign w:val="center"/>
          </w:tcPr>
          <w:p w:rsidR="007561A8" w:rsidRPr="005208E3" w:rsidRDefault="007561A8" w:rsidP="007561A8">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5208E3">
              <w:rPr>
                <w:rFonts w:eastAsia="Times New Roman" w:cstheme="minorHAnsi"/>
                <w:lang w:eastAsia="en-GB"/>
              </w:rPr>
              <w:t>Production/ construction</w:t>
            </w:r>
          </w:p>
        </w:tc>
        <w:tc>
          <w:tcPr>
            <w:tcW w:w="992" w:type="dxa"/>
            <w:vMerge w:val="restart"/>
            <w:textDirection w:val="tbRl"/>
            <w:vAlign w:val="center"/>
          </w:tcPr>
          <w:p w:rsidR="007561A8" w:rsidRPr="005208E3" w:rsidRDefault="007561A8" w:rsidP="007561A8">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5208E3">
              <w:rPr>
                <w:rFonts w:eastAsia="Times New Roman" w:cstheme="minorHAnsi"/>
                <w:lang w:eastAsia="en-GB"/>
              </w:rPr>
              <w:t>Services</w:t>
            </w:r>
          </w:p>
        </w:tc>
      </w:tr>
      <w:tr w:rsidR="007561A8" w:rsidRPr="003C0922" w:rsidTr="007807B3">
        <w:trPr>
          <w:cnfStyle w:val="000000100000" w:firstRow="0" w:lastRow="0" w:firstColumn="0" w:lastColumn="0" w:oddVBand="0" w:evenVBand="0" w:oddHBand="1" w:evenHBand="0" w:firstRowFirstColumn="0" w:firstRowLastColumn="0" w:lastRowFirstColumn="0" w:lastRowLastColumn="0"/>
          <w:cantSplit/>
          <w:trHeight w:val="1370"/>
        </w:trPr>
        <w:tc>
          <w:tcPr>
            <w:cnfStyle w:val="001000000000" w:firstRow="0" w:lastRow="0" w:firstColumn="1" w:lastColumn="0" w:oddVBand="0" w:evenVBand="0" w:oddHBand="0" w:evenHBand="0" w:firstRowFirstColumn="0" w:firstRowLastColumn="0" w:lastRowFirstColumn="0" w:lastRowLastColumn="0"/>
            <w:tcW w:w="2694" w:type="dxa"/>
            <w:shd w:val="clear" w:color="auto" w:fill="73A5D8" w:themeFill="accent6"/>
            <w:vAlign w:val="bottom"/>
          </w:tcPr>
          <w:p w:rsidR="007561A8" w:rsidRPr="005208E3" w:rsidRDefault="007561A8" w:rsidP="006258DB">
            <w:pPr>
              <w:spacing w:before="60" w:after="60"/>
              <w:rPr>
                <w:rFonts w:cstheme="minorHAnsi"/>
                <w:color w:val="FFFFFF" w:themeColor="background1"/>
                <w:sz w:val="20"/>
              </w:rPr>
            </w:pPr>
            <w:r w:rsidRPr="005208E3">
              <w:rPr>
                <w:rFonts w:cstheme="minorHAnsi"/>
                <w:color w:val="FFFFFF" w:themeColor="background1"/>
                <w:sz w:val="18"/>
              </w:rPr>
              <w:t>Row percentages</w:t>
            </w:r>
          </w:p>
        </w:tc>
        <w:tc>
          <w:tcPr>
            <w:tcW w:w="1093" w:type="dxa"/>
            <w:vMerge/>
            <w:shd w:val="clear" w:color="auto" w:fill="73A5D8" w:themeFill="accent6"/>
            <w:textDirection w:val="tbRl"/>
            <w:vAlign w:val="center"/>
          </w:tcPr>
          <w:p w:rsidR="007561A8" w:rsidRPr="005208E3" w:rsidRDefault="007561A8" w:rsidP="007561A8">
            <w:pPr>
              <w:spacing w:before="60" w:after="60"/>
              <w:ind w:left="113" w:right="113"/>
              <w:jc w:val="right"/>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1034" w:type="dxa"/>
            <w:shd w:val="clear" w:color="auto" w:fill="73A5D8" w:themeFill="accent6"/>
            <w:vAlign w:val="center"/>
          </w:tcPr>
          <w:p w:rsidR="007561A8" w:rsidRPr="005208E3" w:rsidRDefault="007561A8" w:rsidP="007561A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5208E3">
              <w:rPr>
                <w:rFonts w:eastAsia="Times New Roman" w:cstheme="minorHAnsi"/>
                <w:b/>
                <w:color w:val="FFFFFF" w:themeColor="background1"/>
                <w:lang w:eastAsia="en-GB"/>
              </w:rPr>
              <w:t>2-9</w:t>
            </w:r>
          </w:p>
        </w:tc>
        <w:tc>
          <w:tcPr>
            <w:tcW w:w="1134" w:type="dxa"/>
            <w:shd w:val="clear" w:color="auto" w:fill="73A5D8" w:themeFill="accent6"/>
            <w:vAlign w:val="center"/>
          </w:tcPr>
          <w:p w:rsidR="007561A8" w:rsidRPr="005208E3" w:rsidRDefault="007561A8" w:rsidP="007561A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5208E3">
              <w:rPr>
                <w:rFonts w:eastAsia="Times New Roman" w:cstheme="minorHAnsi"/>
                <w:b/>
                <w:color w:val="FFFFFF" w:themeColor="background1"/>
                <w:lang w:eastAsia="en-GB"/>
              </w:rPr>
              <w:t>10-24</w:t>
            </w:r>
          </w:p>
        </w:tc>
        <w:tc>
          <w:tcPr>
            <w:tcW w:w="1134" w:type="dxa"/>
            <w:shd w:val="clear" w:color="auto" w:fill="73A5D8" w:themeFill="accent6"/>
            <w:vAlign w:val="center"/>
          </w:tcPr>
          <w:p w:rsidR="007561A8" w:rsidRPr="005208E3" w:rsidRDefault="007561A8" w:rsidP="007561A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5208E3">
              <w:rPr>
                <w:rFonts w:eastAsia="Times New Roman" w:cstheme="minorHAnsi"/>
                <w:b/>
                <w:color w:val="FFFFFF" w:themeColor="background1"/>
                <w:lang w:eastAsia="en-GB"/>
              </w:rPr>
              <w:t>25-99</w:t>
            </w:r>
          </w:p>
        </w:tc>
        <w:tc>
          <w:tcPr>
            <w:tcW w:w="1134" w:type="dxa"/>
            <w:shd w:val="clear" w:color="auto" w:fill="73A5D8" w:themeFill="accent6"/>
            <w:vAlign w:val="center"/>
          </w:tcPr>
          <w:p w:rsidR="007561A8" w:rsidRPr="005208E3" w:rsidRDefault="007561A8" w:rsidP="007561A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5208E3">
              <w:rPr>
                <w:rFonts w:eastAsia="Times New Roman" w:cstheme="minorHAnsi"/>
                <w:b/>
                <w:color w:val="FFFFFF" w:themeColor="background1"/>
                <w:lang w:eastAsia="en-GB"/>
              </w:rPr>
              <w:t>100+</w:t>
            </w:r>
          </w:p>
        </w:tc>
        <w:tc>
          <w:tcPr>
            <w:tcW w:w="991" w:type="dxa"/>
            <w:vMerge/>
            <w:vAlign w:val="bottom"/>
          </w:tcPr>
          <w:p w:rsidR="007561A8" w:rsidRPr="005208E3" w:rsidRDefault="007561A8" w:rsidP="007561A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GB"/>
              </w:rPr>
            </w:pPr>
          </w:p>
        </w:tc>
        <w:tc>
          <w:tcPr>
            <w:tcW w:w="992" w:type="dxa"/>
            <w:vMerge/>
            <w:vAlign w:val="bottom"/>
          </w:tcPr>
          <w:p w:rsidR="007561A8" w:rsidRPr="005208E3" w:rsidRDefault="007561A8" w:rsidP="007561A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GB"/>
              </w:rPr>
            </w:pPr>
          </w:p>
        </w:tc>
      </w:tr>
      <w:tr w:rsidR="006258DB" w:rsidTr="007807B3">
        <w:trPr>
          <w:trHeight w:val="572"/>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258DB" w:rsidRPr="000774A5" w:rsidRDefault="005208E3" w:rsidP="00935623">
            <w:pPr>
              <w:spacing w:before="40" w:after="40"/>
              <w:rPr>
                <w:rFonts w:cstheme="minorHAnsi"/>
                <w:b w:val="0"/>
                <w:color w:val="000000"/>
                <w:sz w:val="20"/>
              </w:rPr>
            </w:pPr>
            <w:r w:rsidRPr="000774A5">
              <w:rPr>
                <w:rFonts w:cstheme="minorHAnsi"/>
                <w:b w:val="0"/>
                <w:color w:val="000000"/>
                <w:sz w:val="20"/>
              </w:rPr>
              <w:t>We consider the environmental impact of our buying decisions</w:t>
            </w:r>
          </w:p>
        </w:tc>
        <w:tc>
          <w:tcPr>
            <w:tcW w:w="1093" w:type="dxa"/>
            <w:tcBorders>
              <w:right w:val="single" w:sz="8" w:space="0" w:color="73A5D8" w:themeColor="accent6"/>
            </w:tcBorders>
            <w:vAlign w:val="center"/>
          </w:tcPr>
          <w:p w:rsidR="006258DB" w:rsidRPr="00AA2975"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w:t>
            </w:r>
          </w:p>
        </w:tc>
        <w:tc>
          <w:tcPr>
            <w:tcW w:w="1034" w:type="dxa"/>
            <w:tcBorders>
              <w:left w:val="single" w:sz="8" w:space="0" w:color="73A5D8" w:themeColor="accent6"/>
              <w:right w:val="single" w:sz="8" w:space="0" w:color="73A5D8" w:themeColor="accent6"/>
            </w:tcBorders>
            <w:vAlign w:val="center"/>
          </w:tcPr>
          <w:p w:rsidR="006258DB" w:rsidRPr="005208E3"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208E3">
              <w:rPr>
                <w:rFonts w:cstheme="minorHAnsi"/>
                <w:i/>
                <w:color w:val="000000"/>
              </w:rPr>
              <w:t>15</w:t>
            </w:r>
          </w:p>
        </w:tc>
        <w:tc>
          <w:tcPr>
            <w:tcW w:w="1134" w:type="dxa"/>
            <w:tcBorders>
              <w:left w:val="single" w:sz="8" w:space="0" w:color="73A5D8" w:themeColor="accent6"/>
              <w:right w:val="single" w:sz="8" w:space="0" w:color="73A5D8" w:themeColor="accent6"/>
            </w:tcBorders>
            <w:vAlign w:val="center"/>
          </w:tcPr>
          <w:p w:rsidR="006258DB" w:rsidRPr="00AA2975"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19</w:t>
            </w:r>
          </w:p>
        </w:tc>
        <w:tc>
          <w:tcPr>
            <w:tcW w:w="1134" w:type="dxa"/>
            <w:tcBorders>
              <w:left w:val="single" w:sz="8" w:space="0" w:color="73A5D8" w:themeColor="accent6"/>
              <w:right w:val="single" w:sz="8" w:space="0" w:color="73A5D8" w:themeColor="accent6"/>
            </w:tcBorders>
            <w:vAlign w:val="center"/>
          </w:tcPr>
          <w:p w:rsidR="006258DB" w:rsidRPr="005208E3"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208E3">
              <w:rPr>
                <w:rFonts w:cstheme="minorHAnsi"/>
                <w:b/>
                <w:color w:val="000000"/>
              </w:rPr>
              <w:t>24</w:t>
            </w:r>
          </w:p>
        </w:tc>
        <w:tc>
          <w:tcPr>
            <w:tcW w:w="1134" w:type="dxa"/>
            <w:tcBorders>
              <w:left w:val="single" w:sz="8" w:space="0" w:color="73A5D8" w:themeColor="accent6"/>
              <w:right w:val="double" w:sz="4" w:space="0" w:color="73A5D8" w:themeColor="accent6"/>
            </w:tcBorders>
            <w:vAlign w:val="center"/>
          </w:tcPr>
          <w:p w:rsidR="006258DB" w:rsidRPr="005208E3"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208E3">
              <w:rPr>
                <w:rFonts w:cstheme="minorHAnsi"/>
                <w:b/>
                <w:color w:val="000000"/>
              </w:rPr>
              <w:t>38</w:t>
            </w:r>
          </w:p>
        </w:tc>
        <w:tc>
          <w:tcPr>
            <w:tcW w:w="991" w:type="dxa"/>
            <w:tcBorders>
              <w:top w:val="single" w:sz="8" w:space="0" w:color="73A5D8" w:themeColor="accent6"/>
              <w:left w:val="double" w:sz="4" w:space="0" w:color="73A5D8" w:themeColor="accent6"/>
              <w:bottom w:val="single" w:sz="8" w:space="0" w:color="73A5D8" w:themeColor="accent6"/>
              <w:right w:val="single" w:sz="8" w:space="0" w:color="73A5D8" w:themeColor="accent6"/>
            </w:tcBorders>
            <w:vAlign w:val="center"/>
          </w:tcPr>
          <w:p w:rsidR="006258DB" w:rsidRPr="005208E3"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208E3">
              <w:rPr>
                <w:rFonts w:cstheme="minorHAnsi"/>
                <w:b/>
                <w:color w:val="000000"/>
              </w:rPr>
              <w:t>21</w:t>
            </w:r>
          </w:p>
        </w:tc>
        <w:tc>
          <w:tcPr>
            <w:tcW w:w="992" w:type="dxa"/>
            <w:tcBorders>
              <w:left w:val="single" w:sz="8" w:space="0" w:color="73A5D8" w:themeColor="accent6"/>
              <w:right w:val="single" w:sz="8" w:space="0" w:color="73A5D8" w:themeColor="accent6"/>
            </w:tcBorders>
            <w:vAlign w:val="center"/>
          </w:tcPr>
          <w:p w:rsidR="006258DB" w:rsidRPr="00AA2975" w:rsidRDefault="005208E3"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16</w:t>
            </w:r>
          </w:p>
        </w:tc>
      </w:tr>
      <w:tr w:rsidR="006258DB" w:rsidTr="0078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258DB" w:rsidRPr="000774A5" w:rsidRDefault="005208E3" w:rsidP="00935623">
            <w:pPr>
              <w:spacing w:before="40" w:after="40"/>
              <w:rPr>
                <w:rFonts w:cstheme="minorHAnsi"/>
                <w:b w:val="0"/>
                <w:color w:val="000000"/>
                <w:sz w:val="20"/>
              </w:rPr>
            </w:pPr>
            <w:r w:rsidRPr="000774A5">
              <w:rPr>
                <w:rFonts w:cstheme="minorHAnsi"/>
                <w:b w:val="0"/>
                <w:color w:val="000000"/>
                <w:sz w:val="20"/>
              </w:rPr>
              <w:t>We actively work to reduce company waste</w:t>
            </w:r>
          </w:p>
        </w:tc>
        <w:tc>
          <w:tcPr>
            <w:tcW w:w="1093" w:type="dxa"/>
            <w:tcBorders>
              <w:right w:val="single" w:sz="8" w:space="0" w:color="73A5D8" w:themeColor="accent6"/>
            </w:tcBorders>
            <w:vAlign w:val="center"/>
          </w:tcPr>
          <w:p w:rsidR="006258DB" w:rsidRPr="00AA297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27</w:t>
            </w:r>
          </w:p>
        </w:tc>
        <w:tc>
          <w:tcPr>
            <w:tcW w:w="1034" w:type="dxa"/>
            <w:tcBorders>
              <w:left w:val="single" w:sz="8" w:space="0" w:color="73A5D8" w:themeColor="accent6"/>
              <w:right w:val="single" w:sz="8" w:space="0" w:color="73A5D8" w:themeColor="accent6"/>
            </w:tcBorders>
            <w:vAlign w:val="center"/>
          </w:tcPr>
          <w:p w:rsidR="006258DB" w:rsidRPr="00AA297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25</w:t>
            </w:r>
          </w:p>
        </w:tc>
        <w:tc>
          <w:tcPr>
            <w:tcW w:w="1134" w:type="dxa"/>
            <w:tcBorders>
              <w:left w:val="single" w:sz="8" w:space="0" w:color="73A5D8" w:themeColor="accent6"/>
              <w:right w:val="single" w:sz="8" w:space="0" w:color="73A5D8" w:themeColor="accent6"/>
            </w:tcBorders>
            <w:vAlign w:val="center"/>
          </w:tcPr>
          <w:p w:rsidR="006258DB" w:rsidRPr="00AA297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31</w:t>
            </w:r>
          </w:p>
        </w:tc>
        <w:tc>
          <w:tcPr>
            <w:tcW w:w="1134" w:type="dxa"/>
            <w:tcBorders>
              <w:left w:val="single" w:sz="8" w:space="0" w:color="73A5D8" w:themeColor="accent6"/>
              <w:right w:val="single" w:sz="8" w:space="0" w:color="73A5D8" w:themeColor="accent6"/>
            </w:tcBorders>
            <w:vAlign w:val="center"/>
          </w:tcPr>
          <w:p w:rsidR="006258DB" w:rsidRPr="000774A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774A5">
              <w:rPr>
                <w:rFonts w:cstheme="minorHAnsi"/>
                <w:b/>
                <w:color w:val="000000"/>
              </w:rPr>
              <w:t>38</w:t>
            </w:r>
          </w:p>
        </w:tc>
        <w:tc>
          <w:tcPr>
            <w:tcW w:w="1134" w:type="dxa"/>
            <w:tcBorders>
              <w:left w:val="single" w:sz="8" w:space="0" w:color="73A5D8" w:themeColor="accent6"/>
              <w:right w:val="double" w:sz="4" w:space="0" w:color="73A5D8" w:themeColor="accent6"/>
            </w:tcBorders>
            <w:vAlign w:val="center"/>
          </w:tcPr>
          <w:p w:rsidR="006258DB" w:rsidRPr="000774A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774A5">
              <w:rPr>
                <w:rFonts w:cstheme="minorHAnsi"/>
                <w:b/>
                <w:color w:val="000000"/>
              </w:rPr>
              <w:t>56</w:t>
            </w:r>
          </w:p>
        </w:tc>
        <w:tc>
          <w:tcPr>
            <w:tcW w:w="991" w:type="dxa"/>
            <w:tcBorders>
              <w:left w:val="double" w:sz="4" w:space="0" w:color="73A5D8" w:themeColor="accent6"/>
              <w:right w:val="single" w:sz="8" w:space="0" w:color="73A5D8" w:themeColor="accent6"/>
            </w:tcBorders>
            <w:vAlign w:val="center"/>
          </w:tcPr>
          <w:p w:rsidR="006258DB" w:rsidRPr="000774A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774A5">
              <w:rPr>
                <w:rFonts w:cstheme="minorHAnsi"/>
                <w:b/>
                <w:color w:val="000000"/>
              </w:rPr>
              <w:t>35</w:t>
            </w:r>
          </w:p>
        </w:tc>
        <w:tc>
          <w:tcPr>
            <w:tcW w:w="992" w:type="dxa"/>
            <w:tcBorders>
              <w:left w:val="single" w:sz="8" w:space="0" w:color="73A5D8" w:themeColor="accent6"/>
            </w:tcBorders>
            <w:vAlign w:val="center"/>
          </w:tcPr>
          <w:p w:rsidR="006258DB" w:rsidRPr="00AA2975" w:rsidRDefault="005208E3"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26</w:t>
            </w:r>
          </w:p>
        </w:tc>
      </w:tr>
      <w:tr w:rsidR="006258DB" w:rsidTr="007807B3">
        <w:tc>
          <w:tcPr>
            <w:cnfStyle w:val="001000000000" w:firstRow="0" w:lastRow="0" w:firstColumn="1" w:lastColumn="0" w:oddVBand="0" w:evenVBand="0" w:oddHBand="0" w:evenHBand="0" w:firstRowFirstColumn="0" w:firstRowLastColumn="0" w:lastRowFirstColumn="0" w:lastRowLastColumn="0"/>
            <w:tcW w:w="2694" w:type="dxa"/>
            <w:vAlign w:val="center"/>
          </w:tcPr>
          <w:p w:rsidR="006258DB" w:rsidRPr="000774A5" w:rsidRDefault="005208E3" w:rsidP="00935623">
            <w:pPr>
              <w:spacing w:before="40" w:after="40"/>
              <w:rPr>
                <w:rFonts w:cstheme="minorHAnsi"/>
                <w:b w:val="0"/>
                <w:color w:val="000000"/>
                <w:sz w:val="20"/>
              </w:rPr>
            </w:pPr>
            <w:r w:rsidRPr="000774A5">
              <w:rPr>
                <w:rFonts w:cstheme="minorHAnsi"/>
                <w:b w:val="0"/>
                <w:color w:val="000000"/>
                <w:sz w:val="20"/>
              </w:rPr>
              <w:t>We actively try to improve our energy efficiency</w:t>
            </w:r>
          </w:p>
        </w:tc>
        <w:tc>
          <w:tcPr>
            <w:tcW w:w="1093" w:type="dxa"/>
            <w:tcBorders>
              <w:right w:val="single" w:sz="8" w:space="0" w:color="73A5D8" w:themeColor="accent6"/>
            </w:tcBorders>
            <w:vAlign w:val="center"/>
          </w:tcPr>
          <w:p w:rsidR="006258DB" w:rsidRPr="00AA297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24</w:t>
            </w:r>
          </w:p>
        </w:tc>
        <w:tc>
          <w:tcPr>
            <w:tcW w:w="1034" w:type="dxa"/>
            <w:tcBorders>
              <w:left w:val="single" w:sz="8" w:space="0" w:color="73A5D8" w:themeColor="accent6"/>
              <w:right w:val="single" w:sz="8" w:space="0" w:color="73A5D8" w:themeColor="accent6"/>
            </w:tcBorders>
            <w:vAlign w:val="center"/>
          </w:tcPr>
          <w:p w:rsidR="006258DB" w:rsidRPr="00AA297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22</w:t>
            </w:r>
          </w:p>
        </w:tc>
        <w:tc>
          <w:tcPr>
            <w:tcW w:w="1134" w:type="dxa"/>
            <w:tcBorders>
              <w:left w:val="single" w:sz="8" w:space="0" w:color="73A5D8" w:themeColor="accent6"/>
              <w:right w:val="single" w:sz="8" w:space="0" w:color="73A5D8" w:themeColor="accent6"/>
            </w:tcBorders>
            <w:vAlign w:val="center"/>
          </w:tcPr>
          <w:p w:rsidR="006258DB" w:rsidRPr="00AA297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27</w:t>
            </w:r>
          </w:p>
        </w:tc>
        <w:tc>
          <w:tcPr>
            <w:tcW w:w="1134" w:type="dxa"/>
            <w:tcBorders>
              <w:left w:val="single" w:sz="8" w:space="0" w:color="73A5D8" w:themeColor="accent6"/>
              <w:right w:val="single" w:sz="8" w:space="0" w:color="73A5D8" w:themeColor="accent6"/>
            </w:tcBorders>
            <w:vAlign w:val="center"/>
          </w:tcPr>
          <w:p w:rsidR="006258DB" w:rsidRPr="000774A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774A5">
              <w:rPr>
                <w:rFonts w:cstheme="minorHAnsi"/>
                <w:b/>
                <w:color w:val="000000"/>
              </w:rPr>
              <w:t>33</w:t>
            </w:r>
          </w:p>
        </w:tc>
        <w:tc>
          <w:tcPr>
            <w:tcW w:w="1134" w:type="dxa"/>
            <w:tcBorders>
              <w:left w:val="single" w:sz="8" w:space="0" w:color="73A5D8" w:themeColor="accent6"/>
              <w:right w:val="double" w:sz="4" w:space="0" w:color="73A5D8" w:themeColor="accent6"/>
            </w:tcBorders>
            <w:vAlign w:val="center"/>
          </w:tcPr>
          <w:p w:rsidR="006258DB" w:rsidRPr="000774A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774A5">
              <w:rPr>
                <w:rFonts w:cstheme="minorHAnsi"/>
                <w:b/>
                <w:color w:val="000000"/>
              </w:rPr>
              <w:t>51</w:t>
            </w:r>
          </w:p>
        </w:tc>
        <w:tc>
          <w:tcPr>
            <w:tcW w:w="991" w:type="dxa"/>
            <w:tcBorders>
              <w:top w:val="single" w:sz="8" w:space="0" w:color="73A5D8" w:themeColor="accent6"/>
              <w:left w:val="double" w:sz="4" w:space="0" w:color="73A5D8" w:themeColor="accent6"/>
              <w:bottom w:val="single" w:sz="8" w:space="0" w:color="73A5D8" w:themeColor="accent6"/>
              <w:right w:val="single" w:sz="8" w:space="0" w:color="73A5D8" w:themeColor="accent6"/>
            </w:tcBorders>
            <w:vAlign w:val="center"/>
          </w:tcPr>
          <w:p w:rsidR="006258DB" w:rsidRPr="000774A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774A5">
              <w:rPr>
                <w:rFonts w:cstheme="minorHAnsi"/>
                <w:b/>
                <w:color w:val="000000"/>
              </w:rPr>
              <w:t>31</w:t>
            </w:r>
          </w:p>
        </w:tc>
        <w:tc>
          <w:tcPr>
            <w:tcW w:w="992" w:type="dxa"/>
            <w:tcBorders>
              <w:left w:val="single" w:sz="8" w:space="0" w:color="73A5D8" w:themeColor="accent6"/>
              <w:right w:val="single" w:sz="8" w:space="0" w:color="73A5D8" w:themeColor="accent6"/>
            </w:tcBorders>
            <w:vAlign w:val="center"/>
          </w:tcPr>
          <w:p w:rsidR="006258DB" w:rsidRPr="000774A5"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0774A5">
              <w:rPr>
                <w:rFonts w:cstheme="minorHAnsi"/>
                <w:i/>
                <w:color w:val="000000"/>
              </w:rPr>
              <w:t>23</w:t>
            </w:r>
          </w:p>
        </w:tc>
      </w:tr>
      <w:tr w:rsidR="006258DB" w:rsidTr="0078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258DB" w:rsidRPr="000774A5" w:rsidRDefault="005208E3" w:rsidP="00935623">
            <w:pPr>
              <w:spacing w:before="40" w:after="40"/>
              <w:rPr>
                <w:rFonts w:cstheme="minorHAnsi"/>
                <w:b w:val="0"/>
                <w:color w:val="000000"/>
                <w:sz w:val="20"/>
              </w:rPr>
            </w:pPr>
            <w:r w:rsidRPr="000774A5">
              <w:rPr>
                <w:rFonts w:cstheme="minorHAnsi"/>
                <w:b w:val="0"/>
                <w:color w:val="000000"/>
                <w:sz w:val="20"/>
              </w:rPr>
              <w:t>We actively try to reduce work-related car emissions</w:t>
            </w:r>
          </w:p>
        </w:tc>
        <w:tc>
          <w:tcPr>
            <w:tcW w:w="1093" w:type="dxa"/>
            <w:tcBorders>
              <w:right w:val="single" w:sz="8" w:space="0" w:color="73A5D8" w:themeColor="accent6"/>
            </w:tcBorders>
            <w:vAlign w:val="center"/>
          </w:tcPr>
          <w:p w:rsidR="006258DB" w:rsidRPr="00AA297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16</w:t>
            </w:r>
          </w:p>
        </w:tc>
        <w:tc>
          <w:tcPr>
            <w:tcW w:w="1034" w:type="dxa"/>
            <w:tcBorders>
              <w:left w:val="single" w:sz="8" w:space="0" w:color="73A5D8" w:themeColor="accent6"/>
              <w:right w:val="single" w:sz="8" w:space="0" w:color="73A5D8" w:themeColor="accent6"/>
            </w:tcBorders>
            <w:vAlign w:val="center"/>
          </w:tcPr>
          <w:p w:rsidR="006258DB" w:rsidRPr="00AA297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16</w:t>
            </w:r>
          </w:p>
        </w:tc>
        <w:tc>
          <w:tcPr>
            <w:tcW w:w="1134" w:type="dxa"/>
            <w:tcBorders>
              <w:left w:val="single" w:sz="8" w:space="0" w:color="73A5D8" w:themeColor="accent6"/>
              <w:right w:val="single" w:sz="8" w:space="0" w:color="73A5D8" w:themeColor="accent6"/>
            </w:tcBorders>
            <w:vAlign w:val="center"/>
          </w:tcPr>
          <w:p w:rsidR="006258DB" w:rsidRPr="00AA297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15</w:t>
            </w:r>
          </w:p>
        </w:tc>
        <w:tc>
          <w:tcPr>
            <w:tcW w:w="1134" w:type="dxa"/>
            <w:tcBorders>
              <w:left w:val="single" w:sz="8" w:space="0" w:color="73A5D8" w:themeColor="accent6"/>
              <w:right w:val="single" w:sz="8" w:space="0" w:color="73A5D8" w:themeColor="accent6"/>
            </w:tcBorders>
            <w:vAlign w:val="center"/>
          </w:tcPr>
          <w:p w:rsidR="006258DB" w:rsidRPr="000774A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774A5">
              <w:rPr>
                <w:rFonts w:cstheme="minorHAnsi"/>
                <w:b/>
                <w:color w:val="000000"/>
              </w:rPr>
              <w:t>22</w:t>
            </w:r>
          </w:p>
        </w:tc>
        <w:tc>
          <w:tcPr>
            <w:tcW w:w="1134" w:type="dxa"/>
            <w:tcBorders>
              <w:left w:val="single" w:sz="8" w:space="0" w:color="73A5D8" w:themeColor="accent6"/>
              <w:right w:val="double" w:sz="4" w:space="0" w:color="73A5D8" w:themeColor="accent6"/>
            </w:tcBorders>
            <w:vAlign w:val="center"/>
          </w:tcPr>
          <w:p w:rsidR="006258DB" w:rsidRPr="000774A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0774A5">
              <w:rPr>
                <w:rFonts w:cstheme="minorHAnsi"/>
                <w:b/>
                <w:color w:val="000000"/>
              </w:rPr>
              <w:t>38</w:t>
            </w:r>
          </w:p>
        </w:tc>
        <w:tc>
          <w:tcPr>
            <w:tcW w:w="991" w:type="dxa"/>
            <w:tcBorders>
              <w:left w:val="double" w:sz="4" w:space="0" w:color="73A5D8" w:themeColor="accent6"/>
              <w:right w:val="single" w:sz="8" w:space="0" w:color="73A5D8" w:themeColor="accent6"/>
            </w:tcBorders>
            <w:vAlign w:val="center"/>
          </w:tcPr>
          <w:p w:rsidR="006258DB" w:rsidRPr="00AA297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18</w:t>
            </w:r>
          </w:p>
        </w:tc>
        <w:tc>
          <w:tcPr>
            <w:tcW w:w="992" w:type="dxa"/>
            <w:tcBorders>
              <w:left w:val="single" w:sz="8" w:space="0" w:color="73A5D8" w:themeColor="accent6"/>
            </w:tcBorders>
            <w:vAlign w:val="center"/>
          </w:tcPr>
          <w:p w:rsidR="006258DB" w:rsidRPr="00AA2975" w:rsidRDefault="000774A5" w:rsidP="0093562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16</w:t>
            </w:r>
          </w:p>
        </w:tc>
      </w:tr>
      <w:tr w:rsidR="006258DB" w:rsidRPr="003C0922" w:rsidTr="007807B3">
        <w:tc>
          <w:tcPr>
            <w:cnfStyle w:val="001000000000" w:firstRow="0" w:lastRow="0" w:firstColumn="1" w:lastColumn="0" w:oddVBand="0" w:evenVBand="0" w:oddHBand="0" w:evenHBand="0" w:firstRowFirstColumn="0" w:firstRowLastColumn="0" w:lastRowFirstColumn="0" w:lastRowLastColumn="0"/>
            <w:tcW w:w="2694" w:type="dxa"/>
            <w:vAlign w:val="center"/>
          </w:tcPr>
          <w:p w:rsidR="006258DB" w:rsidRPr="003C0922" w:rsidRDefault="006258DB" w:rsidP="00935623">
            <w:pPr>
              <w:spacing w:before="40" w:after="40"/>
              <w:rPr>
                <w:rFonts w:cstheme="minorHAnsi"/>
                <w:b w:val="0"/>
                <w:i/>
                <w:color w:val="000000"/>
                <w:sz w:val="20"/>
              </w:rPr>
            </w:pPr>
            <w:r>
              <w:rPr>
                <w:rFonts w:cstheme="minorHAnsi"/>
                <w:b w:val="0"/>
                <w:i/>
                <w:color w:val="000000"/>
                <w:sz w:val="18"/>
              </w:rPr>
              <w:t>U</w:t>
            </w:r>
            <w:r w:rsidRPr="003C0922">
              <w:rPr>
                <w:rFonts w:cstheme="minorHAnsi"/>
                <w:b w:val="0"/>
                <w:i/>
                <w:color w:val="000000"/>
                <w:sz w:val="18"/>
              </w:rPr>
              <w:t>nweighted sample bases</w:t>
            </w:r>
          </w:p>
        </w:tc>
        <w:tc>
          <w:tcPr>
            <w:tcW w:w="1093" w:type="dxa"/>
            <w:tcBorders>
              <w:right w:val="single" w:sz="8"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1515</w:t>
            </w:r>
          </w:p>
        </w:tc>
        <w:tc>
          <w:tcPr>
            <w:tcW w:w="1034" w:type="dxa"/>
            <w:tcBorders>
              <w:left w:val="single" w:sz="8" w:space="0" w:color="73A5D8" w:themeColor="accent6"/>
              <w:right w:val="single" w:sz="8"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1018</w:t>
            </w:r>
          </w:p>
        </w:tc>
        <w:tc>
          <w:tcPr>
            <w:tcW w:w="1134" w:type="dxa"/>
            <w:tcBorders>
              <w:left w:val="single" w:sz="8" w:space="0" w:color="73A5D8" w:themeColor="accent6"/>
              <w:right w:val="single" w:sz="8"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307</w:t>
            </w:r>
          </w:p>
        </w:tc>
        <w:tc>
          <w:tcPr>
            <w:tcW w:w="1134" w:type="dxa"/>
            <w:tcBorders>
              <w:left w:val="single" w:sz="8" w:space="0" w:color="73A5D8" w:themeColor="accent6"/>
              <w:right w:val="single" w:sz="8"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151</w:t>
            </w:r>
          </w:p>
        </w:tc>
        <w:tc>
          <w:tcPr>
            <w:tcW w:w="1134" w:type="dxa"/>
            <w:tcBorders>
              <w:left w:val="single" w:sz="8" w:space="0" w:color="73A5D8" w:themeColor="accent6"/>
              <w:right w:val="double" w:sz="4"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39</w:t>
            </w:r>
          </w:p>
        </w:tc>
        <w:tc>
          <w:tcPr>
            <w:tcW w:w="991" w:type="dxa"/>
            <w:tcBorders>
              <w:top w:val="single" w:sz="8" w:space="0" w:color="73A5D8" w:themeColor="accent6"/>
              <w:left w:val="double" w:sz="4" w:space="0" w:color="73A5D8" w:themeColor="accent6"/>
              <w:bottom w:val="single" w:sz="8"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315</w:t>
            </w:r>
          </w:p>
        </w:tc>
        <w:tc>
          <w:tcPr>
            <w:tcW w:w="992" w:type="dxa"/>
            <w:tcBorders>
              <w:left w:val="single" w:sz="8" w:space="0" w:color="73A5D8" w:themeColor="accent6"/>
            </w:tcBorders>
            <w:vAlign w:val="center"/>
          </w:tcPr>
          <w:p w:rsidR="006258DB" w:rsidRPr="003C0922" w:rsidRDefault="000774A5" w:rsidP="00935623">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8"/>
              </w:rPr>
            </w:pPr>
            <w:r>
              <w:rPr>
                <w:rFonts w:cstheme="minorHAnsi"/>
                <w:i/>
                <w:color w:val="000000"/>
                <w:sz w:val="18"/>
              </w:rPr>
              <w:t>1200</w:t>
            </w:r>
          </w:p>
        </w:tc>
      </w:tr>
    </w:tbl>
    <w:p w:rsidR="006258DB" w:rsidRDefault="006258DB" w:rsidP="006258D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258DB" w:rsidRDefault="006258DB" w:rsidP="006258DB">
      <w:pPr>
        <w:pStyle w:val="BodyText"/>
      </w:pPr>
    </w:p>
    <w:p w:rsidR="00310C0B" w:rsidRDefault="00EB120D" w:rsidP="00310C0B">
      <w:pPr>
        <w:pStyle w:val="Heading2"/>
      </w:pPr>
      <w:bookmarkStart w:id="75" w:name="_Toc394057566"/>
      <w:r>
        <w:t>Flood management</w:t>
      </w:r>
      <w:bookmarkEnd w:id="75"/>
    </w:p>
    <w:p w:rsidR="003A3615" w:rsidRDefault="003A3615" w:rsidP="00EB120D">
      <w:pPr>
        <w:pStyle w:val="BodyText"/>
      </w:pPr>
      <w:r>
        <w:t xml:space="preserve">Following the extreme wet weather conditions and incidents of flooding during the winter of 2013/14, </w:t>
      </w:r>
      <w:r w:rsidR="00E3671E">
        <w:t>employers</w:t>
      </w:r>
      <w:r>
        <w:t xml:space="preserve"> were asked the extent to which they agree or disagree with statements about flood risk and management.</w:t>
      </w:r>
    </w:p>
    <w:p w:rsidR="003A3615" w:rsidRDefault="00EF5A4A" w:rsidP="00EB120D">
      <w:pPr>
        <w:pStyle w:val="BodyText"/>
      </w:pPr>
      <w:r>
        <w:t xml:space="preserve">Overall, 41% of </w:t>
      </w:r>
      <w:r w:rsidR="00E3671E">
        <w:t>employers</w:t>
      </w:r>
      <w:r>
        <w:t xml:space="preserve"> considered the issue of flood risk as being of relevance to their business and provide</w:t>
      </w:r>
      <w:r w:rsidR="004331A2">
        <w:t>d a response with regard to the statements about flood risk and management.</w:t>
      </w:r>
    </w:p>
    <w:p w:rsidR="00336A30" w:rsidRDefault="00B118A2" w:rsidP="00EB120D">
      <w:pPr>
        <w:pStyle w:val="BodyText"/>
      </w:pPr>
      <w:r>
        <w:t xml:space="preserve">More than half the </w:t>
      </w:r>
      <w:r w:rsidR="00E3671E">
        <w:t>employers</w:t>
      </w:r>
      <w:r w:rsidR="00487D9F">
        <w:t xml:space="preserve"> that consider it a relevant issue</w:t>
      </w:r>
      <w:r>
        <w:t xml:space="preserve"> (57%) agree</w:t>
      </w:r>
      <w:r w:rsidR="000337F5">
        <w:t>d</w:t>
      </w:r>
      <w:r>
        <w:t xml:space="preserve"> that their business is concerned about flood risk.  One in five (21%) strongly agree that this is the case.</w:t>
      </w:r>
      <w:r w:rsidR="00336A30">
        <w:t xml:space="preserve">   </w:t>
      </w:r>
    </w:p>
    <w:p w:rsidR="00B118A2" w:rsidRDefault="00573AAC" w:rsidP="00EB120D">
      <w:pPr>
        <w:pStyle w:val="BodyText"/>
      </w:pPr>
      <w:r>
        <w:t>A similar proportion (59%) of those that provided a response agree</w:t>
      </w:r>
      <w:r w:rsidR="000337F5">
        <w:t>d</w:t>
      </w:r>
      <w:r>
        <w:t xml:space="preserve"> that the issue of flooding</w:t>
      </w:r>
      <w:r w:rsidR="000337F5">
        <w:t xml:space="preserve"> is greater now than previously, while a smaller proportion (48%) agreed that their business is actively trying to reduce the possibility of flooding.  Just one in five (21%) </w:t>
      </w:r>
      <w:r w:rsidR="00E3671E">
        <w:t>employers</w:t>
      </w:r>
      <w:r w:rsidR="000337F5">
        <w:t xml:space="preserve"> agreed that the risk of flooding is having an impact on their business planning.</w:t>
      </w:r>
      <w:r w:rsidR="004E1E37">
        <w:t xml:space="preserve">  The majority of </w:t>
      </w:r>
      <w:r w:rsidR="00E3671E">
        <w:t>employers</w:t>
      </w:r>
      <w:r w:rsidR="004E1E37">
        <w:t xml:space="preserve"> providing a response (76%) disagreed that flood risk is affecting their business planning.</w:t>
      </w:r>
    </w:p>
    <w:p w:rsidR="000337F5" w:rsidRDefault="000337F5" w:rsidP="00EB120D">
      <w:pPr>
        <w:pStyle w:val="BodyText"/>
      </w:pPr>
    </w:p>
    <w:p w:rsidR="004331A2" w:rsidRDefault="004331A2" w:rsidP="004331A2">
      <w:pPr>
        <w:pStyle w:val="Caption"/>
      </w:pPr>
      <w:r>
        <w:lastRenderedPageBreak/>
        <w:t xml:space="preserve">Figure 9.5:  Extent to which employers agree or disagree with statements about flood risk and management (where provided a response) </w:t>
      </w:r>
    </w:p>
    <w:p w:rsidR="004331A2" w:rsidRDefault="004331A2" w:rsidP="004331A2">
      <w:pPr>
        <w:pStyle w:val="Caption"/>
      </w:pPr>
      <w:r w:rsidRPr="004331A2">
        <w:rPr>
          <w:noProof/>
          <w:lang w:eastAsia="en-GB"/>
        </w:rPr>
        <w:drawing>
          <wp:inline distT="0" distB="0" distL="0" distR="0">
            <wp:extent cx="6134100" cy="299085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331A2" w:rsidRDefault="004331A2" w:rsidP="004331A2">
      <w:pPr>
        <w:pStyle w:val="BodyText"/>
        <w:rPr>
          <w:rFonts w:cs="Arial"/>
          <w:sz w:val="18"/>
        </w:rPr>
      </w:pPr>
      <w:r>
        <w:rPr>
          <w:rFonts w:cs="Arial"/>
          <w:sz w:val="18"/>
        </w:rPr>
        <w:t>Unweighted sample bases in parentheses</w:t>
      </w:r>
    </w:p>
    <w:p w:rsidR="004331A2" w:rsidRDefault="004331A2" w:rsidP="004331A2">
      <w:pPr>
        <w:pStyle w:val="BodyText"/>
        <w:rPr>
          <w:rFonts w:cs="Arial"/>
          <w:sz w:val="18"/>
        </w:rPr>
      </w:pPr>
      <w:r>
        <w:rPr>
          <w:rFonts w:cs="Arial"/>
          <w:sz w:val="18"/>
        </w:rPr>
        <w:t>QE27.  And with regard to flooding and issues of flood management with regard to your business, to what extent would you agree or disagree with the following statements?</w:t>
      </w:r>
    </w:p>
    <w:p w:rsidR="004331A2" w:rsidRDefault="00894800" w:rsidP="00EB120D">
      <w:pPr>
        <w:pStyle w:val="BodyText"/>
      </w:pPr>
      <w:r>
        <w:t>By district, employers based in Boston are significantly more likely than average to be concerned about flood risk and to be actively trying to reduce the possibility of flooding (see table below.</w:t>
      </w:r>
    </w:p>
    <w:p w:rsidR="00894800" w:rsidRDefault="00894800" w:rsidP="00894800">
      <w:pPr>
        <w:pStyle w:val="Caption"/>
      </w:pPr>
      <w:r>
        <w:t>Table 9.6:  Extent to which employers agree or disagree with statements about flood risk and management, by district (where provided a response)</w:t>
      </w:r>
    </w:p>
    <w:tbl>
      <w:tblPr>
        <w:tblStyle w:val="LightList-Accent6"/>
        <w:tblW w:w="10208" w:type="dxa"/>
        <w:tblInd w:w="-176" w:type="dxa"/>
        <w:tblLook w:val="04A0" w:firstRow="1" w:lastRow="0" w:firstColumn="1" w:lastColumn="0" w:noHBand="0" w:noVBand="1"/>
      </w:tblPr>
      <w:tblGrid>
        <w:gridCol w:w="2836"/>
        <w:gridCol w:w="992"/>
        <w:gridCol w:w="709"/>
        <w:gridCol w:w="709"/>
        <w:gridCol w:w="567"/>
        <w:gridCol w:w="567"/>
        <w:gridCol w:w="709"/>
        <w:gridCol w:w="567"/>
        <w:gridCol w:w="709"/>
        <w:gridCol w:w="567"/>
        <w:gridCol w:w="567"/>
        <w:gridCol w:w="709"/>
      </w:tblGrid>
      <w:tr w:rsidR="00894800" w:rsidRPr="00894800" w:rsidTr="00894800">
        <w:trPr>
          <w:cnfStyle w:val="100000000000" w:firstRow="1" w:lastRow="0" w:firstColumn="0" w:lastColumn="0" w:oddVBand="0" w:evenVBand="0" w:oddHBand="0" w:evenHBand="0" w:firstRowFirstColumn="0" w:firstRowLastColumn="0" w:lastRowFirstColumn="0" w:lastRowLastColumn="0"/>
          <w:cantSplit/>
          <w:trHeight w:val="2094"/>
        </w:trPr>
        <w:tc>
          <w:tcPr>
            <w:cnfStyle w:val="001000000000" w:firstRow="0" w:lastRow="0" w:firstColumn="1" w:lastColumn="0" w:oddVBand="0" w:evenVBand="0" w:oddHBand="0" w:evenHBand="0" w:firstRowFirstColumn="0" w:firstRowLastColumn="0" w:lastRowFirstColumn="0" w:lastRowLastColumn="0"/>
            <w:tcW w:w="2836" w:type="dxa"/>
            <w:noWrap/>
            <w:textDirection w:val="tbRl"/>
            <w:vAlign w:val="center"/>
            <w:hideMark/>
          </w:tcPr>
          <w:p w:rsidR="00894800" w:rsidRPr="00894800" w:rsidRDefault="00894800" w:rsidP="00894800">
            <w:pPr>
              <w:spacing w:after="0"/>
              <w:ind w:left="113" w:right="113"/>
              <w:jc w:val="center"/>
              <w:rPr>
                <w:rFonts w:eastAsia="Times New Roman" w:cstheme="minorHAnsi"/>
                <w:lang w:eastAsia="en-GB"/>
              </w:rPr>
            </w:pPr>
          </w:p>
        </w:tc>
        <w:tc>
          <w:tcPr>
            <w:tcW w:w="992"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All employers</w:t>
            </w:r>
          </w:p>
        </w:tc>
        <w:tc>
          <w:tcPr>
            <w:tcW w:w="709"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Linc</w:t>
            </w:r>
            <w:r>
              <w:rPr>
                <w:rFonts w:eastAsia="Times New Roman" w:cstheme="minorHAnsi"/>
                <w:lang w:eastAsia="en-GB"/>
              </w:rPr>
              <w:t>olnshire</w:t>
            </w:r>
            <w:r w:rsidRPr="00894800">
              <w:rPr>
                <w:rFonts w:eastAsia="Times New Roman" w:cstheme="minorHAnsi"/>
                <w:lang w:eastAsia="en-GB"/>
              </w:rPr>
              <w:t xml:space="preserve"> County Council</w:t>
            </w:r>
          </w:p>
        </w:tc>
        <w:tc>
          <w:tcPr>
            <w:tcW w:w="709"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North East Lincolnshire</w:t>
            </w:r>
          </w:p>
        </w:tc>
        <w:tc>
          <w:tcPr>
            <w:tcW w:w="567"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North Linc</w:t>
            </w:r>
            <w:r>
              <w:rPr>
                <w:rFonts w:eastAsia="Times New Roman" w:cstheme="minorHAnsi"/>
                <w:lang w:eastAsia="en-GB"/>
              </w:rPr>
              <w:t>olnshire</w:t>
            </w:r>
          </w:p>
        </w:tc>
        <w:tc>
          <w:tcPr>
            <w:tcW w:w="567"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Boston</w:t>
            </w:r>
          </w:p>
        </w:tc>
        <w:tc>
          <w:tcPr>
            <w:tcW w:w="709"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East Lindsey</w:t>
            </w:r>
          </w:p>
        </w:tc>
        <w:tc>
          <w:tcPr>
            <w:tcW w:w="567"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Lincoln</w:t>
            </w:r>
          </w:p>
        </w:tc>
        <w:tc>
          <w:tcPr>
            <w:tcW w:w="709"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North Kesteven</w:t>
            </w:r>
          </w:p>
        </w:tc>
        <w:tc>
          <w:tcPr>
            <w:tcW w:w="567"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South Holland</w:t>
            </w:r>
          </w:p>
        </w:tc>
        <w:tc>
          <w:tcPr>
            <w:tcW w:w="567"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South Kesteven</w:t>
            </w:r>
          </w:p>
        </w:tc>
        <w:tc>
          <w:tcPr>
            <w:tcW w:w="709" w:type="dxa"/>
            <w:noWrap/>
            <w:textDirection w:val="tbRl"/>
            <w:vAlign w:val="center"/>
            <w:hideMark/>
          </w:tcPr>
          <w:p w:rsidR="00894800" w:rsidRPr="00894800" w:rsidRDefault="00894800" w:rsidP="0089480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894800">
              <w:rPr>
                <w:rFonts w:eastAsia="Times New Roman" w:cstheme="minorHAnsi"/>
                <w:lang w:eastAsia="en-GB"/>
              </w:rPr>
              <w:t>West Lindsey</w:t>
            </w:r>
          </w:p>
        </w:tc>
      </w:tr>
      <w:tr w:rsidR="00894800" w:rsidRPr="00894800" w:rsidTr="00894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noWrap/>
            <w:hideMark/>
          </w:tcPr>
          <w:p w:rsidR="00894800" w:rsidRPr="00894800" w:rsidRDefault="00894800" w:rsidP="00894800">
            <w:pPr>
              <w:spacing w:before="40" w:after="40"/>
              <w:rPr>
                <w:rFonts w:eastAsia="Times New Roman" w:cstheme="minorHAnsi"/>
                <w:b w:val="0"/>
                <w:color w:val="000000"/>
                <w:sz w:val="20"/>
                <w:lang w:eastAsia="en-GB"/>
              </w:rPr>
            </w:pPr>
            <w:r w:rsidRPr="00894800">
              <w:rPr>
                <w:rFonts w:eastAsia="Times New Roman" w:cstheme="minorHAnsi"/>
                <w:b w:val="0"/>
                <w:color w:val="000000"/>
                <w:sz w:val="20"/>
                <w:lang w:eastAsia="en-GB"/>
              </w:rPr>
              <w:t>We are concerned about flood risk</w:t>
            </w:r>
          </w:p>
        </w:tc>
        <w:tc>
          <w:tcPr>
            <w:tcW w:w="992"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57</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55</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67</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56</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894800">
              <w:rPr>
                <w:rFonts w:eastAsia="Times New Roman" w:cstheme="minorHAnsi"/>
                <w:b/>
                <w:color w:val="000000"/>
                <w:lang w:eastAsia="en-GB"/>
              </w:rPr>
              <w:t>81</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68</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42</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47</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49</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894800">
              <w:rPr>
                <w:rFonts w:eastAsia="Times New Roman" w:cstheme="minorHAnsi"/>
                <w:i/>
                <w:color w:val="000000"/>
                <w:lang w:eastAsia="en-GB"/>
              </w:rPr>
              <w:t>33</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46</w:t>
            </w:r>
          </w:p>
        </w:tc>
      </w:tr>
      <w:tr w:rsidR="00894800" w:rsidRPr="00894800" w:rsidTr="00894800">
        <w:trPr>
          <w:trHeight w:val="300"/>
        </w:trPr>
        <w:tc>
          <w:tcPr>
            <w:cnfStyle w:val="001000000000" w:firstRow="0" w:lastRow="0" w:firstColumn="1" w:lastColumn="0" w:oddVBand="0" w:evenVBand="0" w:oddHBand="0" w:evenHBand="0" w:firstRowFirstColumn="0" w:firstRowLastColumn="0" w:lastRowFirstColumn="0" w:lastRowLastColumn="0"/>
            <w:tcW w:w="2836" w:type="dxa"/>
            <w:noWrap/>
            <w:hideMark/>
          </w:tcPr>
          <w:p w:rsidR="00894800" w:rsidRPr="00894800" w:rsidRDefault="00894800" w:rsidP="00894800">
            <w:pPr>
              <w:spacing w:before="40" w:after="40"/>
              <w:rPr>
                <w:rFonts w:eastAsia="Times New Roman" w:cstheme="minorHAnsi"/>
                <w:b w:val="0"/>
                <w:color w:val="000000"/>
                <w:sz w:val="20"/>
                <w:lang w:eastAsia="en-GB"/>
              </w:rPr>
            </w:pPr>
            <w:r w:rsidRPr="00894800">
              <w:rPr>
                <w:rFonts w:eastAsia="Times New Roman" w:cstheme="minorHAnsi"/>
                <w:b w:val="0"/>
                <w:color w:val="000000"/>
                <w:sz w:val="20"/>
                <w:lang w:eastAsia="en-GB"/>
              </w:rPr>
              <w:t>The issue of flooding is greater now than previously</w:t>
            </w:r>
          </w:p>
        </w:tc>
        <w:tc>
          <w:tcPr>
            <w:tcW w:w="992"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59</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55</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894800">
              <w:rPr>
                <w:rFonts w:eastAsia="Times New Roman" w:cstheme="minorHAnsi"/>
                <w:b/>
                <w:color w:val="000000"/>
                <w:lang w:eastAsia="en-GB"/>
              </w:rPr>
              <w:t>74</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67</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44</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67</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54</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51</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42</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894800">
              <w:rPr>
                <w:rFonts w:eastAsia="Times New Roman" w:cstheme="minorHAnsi"/>
                <w:i/>
                <w:color w:val="000000"/>
                <w:lang w:eastAsia="en-GB"/>
              </w:rPr>
              <w:t>37</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48</w:t>
            </w:r>
          </w:p>
        </w:tc>
      </w:tr>
      <w:tr w:rsidR="00894800" w:rsidRPr="00894800" w:rsidTr="00894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noWrap/>
            <w:hideMark/>
          </w:tcPr>
          <w:p w:rsidR="00894800" w:rsidRPr="00894800" w:rsidRDefault="00894800" w:rsidP="00894800">
            <w:pPr>
              <w:spacing w:before="40" w:after="40"/>
              <w:rPr>
                <w:rFonts w:eastAsia="Times New Roman" w:cstheme="minorHAnsi"/>
                <w:b w:val="0"/>
                <w:color w:val="000000"/>
                <w:sz w:val="20"/>
                <w:lang w:eastAsia="en-GB"/>
              </w:rPr>
            </w:pPr>
            <w:r w:rsidRPr="00894800">
              <w:rPr>
                <w:rFonts w:eastAsia="Times New Roman" w:cstheme="minorHAnsi"/>
                <w:b w:val="0"/>
                <w:color w:val="000000"/>
                <w:sz w:val="20"/>
                <w:lang w:eastAsia="en-GB"/>
              </w:rPr>
              <w:t>We actively try to reduce the possibility of flooding</w:t>
            </w:r>
          </w:p>
        </w:tc>
        <w:tc>
          <w:tcPr>
            <w:tcW w:w="992"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49</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47</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44</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60</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894800">
              <w:rPr>
                <w:rFonts w:eastAsia="Times New Roman" w:cstheme="minorHAnsi"/>
                <w:b/>
                <w:color w:val="000000"/>
                <w:lang w:eastAsia="en-GB"/>
              </w:rPr>
              <w:t>65</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64</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35</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39</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31</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36</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43</w:t>
            </w:r>
          </w:p>
        </w:tc>
      </w:tr>
      <w:tr w:rsidR="00894800" w:rsidRPr="00894800" w:rsidTr="00894800">
        <w:trPr>
          <w:trHeight w:val="300"/>
        </w:trPr>
        <w:tc>
          <w:tcPr>
            <w:cnfStyle w:val="001000000000" w:firstRow="0" w:lastRow="0" w:firstColumn="1" w:lastColumn="0" w:oddVBand="0" w:evenVBand="0" w:oddHBand="0" w:evenHBand="0" w:firstRowFirstColumn="0" w:firstRowLastColumn="0" w:lastRowFirstColumn="0" w:lastRowLastColumn="0"/>
            <w:tcW w:w="2836" w:type="dxa"/>
            <w:noWrap/>
            <w:hideMark/>
          </w:tcPr>
          <w:p w:rsidR="00894800" w:rsidRPr="00894800" w:rsidRDefault="00894800" w:rsidP="00894800">
            <w:pPr>
              <w:spacing w:before="40" w:after="40"/>
              <w:rPr>
                <w:rFonts w:eastAsia="Times New Roman" w:cstheme="minorHAnsi"/>
                <w:b w:val="0"/>
                <w:color w:val="000000"/>
                <w:sz w:val="20"/>
                <w:lang w:eastAsia="en-GB"/>
              </w:rPr>
            </w:pPr>
            <w:r w:rsidRPr="00894800">
              <w:rPr>
                <w:rFonts w:eastAsia="Times New Roman" w:cstheme="minorHAnsi"/>
                <w:b w:val="0"/>
                <w:color w:val="000000"/>
                <w:sz w:val="20"/>
                <w:lang w:eastAsia="en-GB"/>
              </w:rPr>
              <w:t>The risk of flooding is having an impact on our business planning</w:t>
            </w:r>
          </w:p>
        </w:tc>
        <w:tc>
          <w:tcPr>
            <w:tcW w:w="992"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21</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20</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26</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23</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894800">
              <w:rPr>
                <w:rFonts w:eastAsia="Times New Roman" w:cstheme="minorHAnsi"/>
                <w:b/>
                <w:color w:val="000000"/>
                <w:lang w:eastAsia="en-GB"/>
              </w:rPr>
              <w:t>35</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27</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14</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14</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13</w:t>
            </w:r>
          </w:p>
        </w:tc>
        <w:tc>
          <w:tcPr>
            <w:tcW w:w="567"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894800">
              <w:rPr>
                <w:rFonts w:eastAsia="Times New Roman" w:cstheme="minorHAnsi"/>
                <w:i/>
                <w:color w:val="000000"/>
                <w:lang w:eastAsia="en-GB"/>
              </w:rPr>
              <w:t>7</w:t>
            </w:r>
          </w:p>
        </w:tc>
        <w:tc>
          <w:tcPr>
            <w:tcW w:w="709" w:type="dxa"/>
            <w:noWrap/>
            <w:vAlign w:val="center"/>
            <w:hideMark/>
          </w:tcPr>
          <w:p w:rsidR="00894800" w:rsidRPr="00894800" w:rsidRDefault="00894800" w:rsidP="0089480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4800">
              <w:rPr>
                <w:rFonts w:eastAsia="Times New Roman" w:cstheme="minorHAnsi"/>
                <w:color w:val="000000"/>
                <w:lang w:eastAsia="en-GB"/>
              </w:rPr>
              <w:t>18</w:t>
            </w:r>
          </w:p>
        </w:tc>
      </w:tr>
      <w:tr w:rsidR="00894800" w:rsidRPr="00894800" w:rsidTr="00894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noWrap/>
            <w:hideMark/>
          </w:tcPr>
          <w:p w:rsidR="00894800" w:rsidRPr="00894800" w:rsidRDefault="00894800" w:rsidP="00894800">
            <w:pPr>
              <w:spacing w:before="40" w:after="40"/>
              <w:rPr>
                <w:rFonts w:eastAsia="Times New Roman" w:cstheme="minorHAnsi"/>
                <w:b w:val="0"/>
                <w:i/>
                <w:color w:val="000000"/>
                <w:sz w:val="20"/>
                <w:szCs w:val="20"/>
                <w:lang w:eastAsia="en-GB"/>
              </w:rPr>
            </w:pPr>
            <w:r w:rsidRPr="00894800">
              <w:rPr>
                <w:rFonts w:eastAsia="Times New Roman" w:cstheme="minorHAnsi"/>
                <w:b w:val="0"/>
                <w:i/>
                <w:color w:val="000000"/>
                <w:sz w:val="20"/>
                <w:szCs w:val="20"/>
                <w:lang w:eastAsia="en-GB"/>
              </w:rPr>
              <w:t>Unweighted sample bases</w:t>
            </w:r>
          </w:p>
        </w:tc>
        <w:tc>
          <w:tcPr>
            <w:tcW w:w="992"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620</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466</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75</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79</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85</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92</w:t>
            </w:r>
          </w:p>
        </w:tc>
        <w:tc>
          <w:tcPr>
            <w:tcW w:w="567"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57</w:t>
            </w:r>
          </w:p>
        </w:tc>
        <w:tc>
          <w:tcPr>
            <w:tcW w:w="709" w:type="dxa"/>
            <w:noWrap/>
            <w:vAlign w:val="center"/>
            <w:hideMark/>
          </w:tcPr>
          <w:p w:rsidR="00894800" w:rsidRPr="00894800" w:rsidRDefault="00894800" w:rsidP="00894800">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47</w:t>
            </w:r>
          </w:p>
        </w:tc>
        <w:tc>
          <w:tcPr>
            <w:tcW w:w="567" w:type="dxa"/>
            <w:noWrap/>
            <w:hideMark/>
          </w:tcPr>
          <w:p w:rsidR="00894800" w:rsidRPr="00894800" w:rsidRDefault="00894800" w:rsidP="00894800">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80</w:t>
            </w:r>
          </w:p>
        </w:tc>
        <w:tc>
          <w:tcPr>
            <w:tcW w:w="567" w:type="dxa"/>
            <w:noWrap/>
            <w:hideMark/>
          </w:tcPr>
          <w:p w:rsidR="00894800" w:rsidRPr="00894800" w:rsidRDefault="00894800" w:rsidP="00894800">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57</w:t>
            </w:r>
          </w:p>
        </w:tc>
        <w:tc>
          <w:tcPr>
            <w:tcW w:w="709" w:type="dxa"/>
            <w:noWrap/>
            <w:hideMark/>
          </w:tcPr>
          <w:p w:rsidR="00894800" w:rsidRPr="00894800" w:rsidRDefault="00894800" w:rsidP="00894800">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n-GB"/>
              </w:rPr>
            </w:pPr>
            <w:r w:rsidRPr="00894800">
              <w:rPr>
                <w:rFonts w:eastAsia="Times New Roman" w:cstheme="minorHAnsi"/>
                <w:i/>
                <w:color w:val="000000"/>
                <w:sz w:val="18"/>
                <w:szCs w:val="18"/>
                <w:lang w:eastAsia="en-GB"/>
              </w:rPr>
              <w:t>48</w:t>
            </w:r>
          </w:p>
        </w:tc>
      </w:tr>
    </w:tbl>
    <w:p w:rsidR="00894800" w:rsidRDefault="00894800" w:rsidP="00894800">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51896" w:rsidRDefault="00651896" w:rsidP="00651896">
      <w:pPr>
        <w:pStyle w:val="Heading1"/>
      </w:pPr>
      <w:bookmarkStart w:id="76" w:name="_Toc394057567"/>
      <w:r>
        <w:lastRenderedPageBreak/>
        <w:t xml:space="preserve">Focus on Priority </w:t>
      </w:r>
      <w:r w:rsidR="002E2ECA">
        <w:t xml:space="preserve">and Emerging </w:t>
      </w:r>
      <w:r>
        <w:t>Sectors</w:t>
      </w:r>
      <w:bookmarkEnd w:id="76"/>
    </w:p>
    <w:p w:rsidR="00651896" w:rsidRDefault="00651896" w:rsidP="00651896"/>
    <w:p w:rsidR="00651896" w:rsidRDefault="00651896" w:rsidP="00651896">
      <w:pPr>
        <w:pStyle w:val="Heading2"/>
      </w:pPr>
      <w:bookmarkStart w:id="77" w:name="_Toc394057568"/>
      <w:r>
        <w:t xml:space="preserve">Description of priority </w:t>
      </w:r>
      <w:r w:rsidR="002E2ECA">
        <w:t xml:space="preserve">and emerging </w:t>
      </w:r>
      <w:r>
        <w:t>sectors</w:t>
      </w:r>
      <w:bookmarkEnd w:id="77"/>
    </w:p>
    <w:p w:rsidR="00651896" w:rsidRDefault="00CA2A0E" w:rsidP="00651896">
      <w:r>
        <w:t>The GLLEP has identified three industry sectors in which it has the most competitive a</w:t>
      </w:r>
      <w:r w:rsidR="002E2ECA">
        <w:t xml:space="preserve">dvantage in within the UK.  These priority </w:t>
      </w:r>
      <w:r>
        <w:t>sectors are:</w:t>
      </w:r>
    </w:p>
    <w:p w:rsidR="00CA2A0E" w:rsidRDefault="00CA2A0E" w:rsidP="00CA2A0E">
      <w:pPr>
        <w:pStyle w:val="ListParagraph"/>
      </w:pPr>
      <w:r>
        <w:t>Agri-food</w:t>
      </w:r>
    </w:p>
    <w:p w:rsidR="00CA2A0E" w:rsidRDefault="00CA2A0E" w:rsidP="00CA2A0E">
      <w:pPr>
        <w:pStyle w:val="ListParagraph"/>
      </w:pPr>
      <w:r>
        <w:t>Visitor economy</w:t>
      </w:r>
    </w:p>
    <w:p w:rsidR="00CA2A0E" w:rsidRDefault="00CA2A0E" w:rsidP="00CA2A0E">
      <w:pPr>
        <w:pStyle w:val="ListParagraph"/>
      </w:pPr>
      <w:r>
        <w:t>Power engineering (manufacturing)</w:t>
      </w:r>
    </w:p>
    <w:p w:rsidR="00CA2A0E" w:rsidRDefault="00CA2A0E" w:rsidP="00651896">
      <w:r>
        <w:t>These sectors are already important to the national and local economy but they could provide even more wealth and jobs.</w:t>
      </w:r>
    </w:p>
    <w:p w:rsidR="00CA2A0E" w:rsidRDefault="002E2ECA" w:rsidP="00651896">
      <w:r>
        <w:t>The GLLEP also recognises that there are three particularly strong sectors that, with the appropriate focus, could be grown to become nationally important and increase wealth and provide job opportunities locally.  These emerging sectors are:</w:t>
      </w:r>
    </w:p>
    <w:p w:rsidR="002E2ECA" w:rsidRDefault="00952CC7" w:rsidP="002E2ECA">
      <w:pPr>
        <w:pStyle w:val="ListParagraph"/>
      </w:pPr>
      <w:r>
        <w:t>Health and c</w:t>
      </w:r>
      <w:r w:rsidR="002E2ECA">
        <w:t>are sector</w:t>
      </w:r>
    </w:p>
    <w:p w:rsidR="002E2ECA" w:rsidRDefault="002E2ECA" w:rsidP="002E2ECA">
      <w:pPr>
        <w:pStyle w:val="ListParagraph"/>
      </w:pPr>
      <w:r>
        <w:t>Ports and logistics</w:t>
      </w:r>
    </w:p>
    <w:p w:rsidR="002E2ECA" w:rsidRDefault="00952CC7" w:rsidP="002E2ECA">
      <w:pPr>
        <w:pStyle w:val="ListParagraph"/>
      </w:pPr>
      <w:r>
        <w:t>Renewables/l</w:t>
      </w:r>
      <w:r w:rsidR="002E2ECA">
        <w:t>ow carbon initiatives</w:t>
      </w:r>
    </w:p>
    <w:p w:rsidR="00CA2A0E" w:rsidRDefault="004C50E9" w:rsidP="004C50E9">
      <w:pPr>
        <w:pStyle w:val="BodyText"/>
      </w:pPr>
      <w:r>
        <w:t>This chapter of the report will provide a brief summary of the survey findings</w:t>
      </w:r>
      <w:r w:rsidR="000C36AD">
        <w:t xml:space="preserve"> </w:t>
      </w:r>
      <w:r>
        <w:t xml:space="preserve">relating to </w:t>
      </w:r>
      <w:r w:rsidR="00E1793C">
        <w:t>the</w:t>
      </w:r>
      <w:r>
        <w:t xml:space="preserve"> priority and emerging sectors</w:t>
      </w:r>
      <w:r w:rsidR="000C36AD">
        <w:t xml:space="preserve"> in a tabular form</w:t>
      </w:r>
      <w:r>
        <w:t>.</w:t>
      </w:r>
      <w:r w:rsidR="000C36AD">
        <w:t xml:space="preserve">  Significant differences are highlighted.</w:t>
      </w:r>
    </w:p>
    <w:p w:rsidR="00270C14" w:rsidRDefault="00270C14">
      <w:pPr>
        <w:spacing w:after="360"/>
        <w:rPr>
          <w:rFonts w:asciiTheme="majorHAnsi" w:eastAsiaTheme="majorEastAsia" w:hAnsiTheme="majorHAnsi" w:cstheme="majorBidi"/>
          <w:b/>
          <w:bCs/>
          <w:color w:val="0075A4"/>
          <w:sz w:val="26"/>
          <w:szCs w:val="26"/>
        </w:rPr>
      </w:pPr>
      <w:r>
        <w:br w:type="page"/>
      </w:r>
    </w:p>
    <w:p w:rsidR="00665737" w:rsidRDefault="00665737" w:rsidP="00665737">
      <w:pPr>
        <w:pStyle w:val="Heading2"/>
      </w:pPr>
      <w:bookmarkStart w:id="78" w:name="_Toc394057569"/>
      <w:r>
        <w:lastRenderedPageBreak/>
        <w:t>Profile</w:t>
      </w:r>
      <w:bookmarkEnd w:id="78"/>
    </w:p>
    <w:p w:rsidR="00B71C1B" w:rsidRDefault="00B71C1B" w:rsidP="00B71C1B">
      <w:pPr>
        <w:pStyle w:val="Caption"/>
      </w:pPr>
      <w:r>
        <w:t>Table 10.1:  Employer profile (all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64087B" w:rsidRPr="0064087B" w:rsidTr="00B71C1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64087B">
            <w:pPr>
              <w:spacing w:after="0"/>
              <w:rPr>
                <w:rFonts w:eastAsia="Times New Roman" w:cstheme="minorHAnsi"/>
                <w:b w:val="0"/>
                <w:sz w:val="20"/>
                <w:lang w:eastAsia="en-GB"/>
              </w:rPr>
            </w:pPr>
          </w:p>
        </w:tc>
        <w:tc>
          <w:tcPr>
            <w:tcW w:w="1434" w:type="dxa"/>
            <w:vMerge w:val="restart"/>
            <w:noWrap/>
            <w:textDirection w:val="tbRl"/>
            <w:vAlign w:val="center"/>
            <w:hideMark/>
          </w:tcPr>
          <w:p w:rsidR="0064087B" w:rsidRPr="0064087B" w:rsidRDefault="0064087B" w:rsidP="00F4227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64087B" w:rsidRPr="0064087B" w:rsidRDefault="0064087B" w:rsidP="00F42270">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64087B" w:rsidRPr="0064087B" w:rsidRDefault="0064087B" w:rsidP="0064087B">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64087B" w:rsidRPr="0064087B" w:rsidRDefault="0064087B" w:rsidP="006408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4087B" w:rsidRPr="0064087B" w:rsidTr="00B71C1B">
        <w:trPr>
          <w:cnfStyle w:val="100000000000" w:firstRow="1" w:lastRow="0" w:firstColumn="0" w:lastColumn="0" w:oddVBand="0" w:evenVBand="0" w:oddHBand="0" w:evenHBand="0" w:firstRowFirstColumn="0" w:firstRowLastColumn="0" w:lastRowFirstColumn="0" w:lastRowLastColumn="0"/>
          <w:cantSplit/>
          <w:trHeight w:val="2431"/>
          <w:tblHeader/>
        </w:trPr>
        <w:tc>
          <w:tcPr>
            <w:cnfStyle w:val="001000000000" w:firstRow="0" w:lastRow="0" w:firstColumn="1" w:lastColumn="0" w:oddVBand="0" w:evenVBand="0" w:oddHBand="0" w:evenHBand="0" w:firstRowFirstColumn="0" w:firstRowLastColumn="0" w:lastRowFirstColumn="0" w:lastRowLastColumn="0"/>
            <w:tcW w:w="2943" w:type="dxa"/>
            <w:noWrap/>
            <w:textDirection w:val="tbRl"/>
            <w:vAlign w:val="center"/>
            <w:hideMark/>
          </w:tcPr>
          <w:p w:rsidR="0064087B" w:rsidRPr="0064087B" w:rsidRDefault="0064087B" w:rsidP="0064087B">
            <w:pPr>
              <w:spacing w:after="0"/>
              <w:ind w:left="113" w:right="113"/>
              <w:rPr>
                <w:rFonts w:eastAsia="Times New Roman" w:cstheme="minorHAnsi"/>
                <w:sz w:val="20"/>
                <w:lang w:eastAsia="en-GB"/>
              </w:rPr>
            </w:pPr>
          </w:p>
        </w:tc>
        <w:tc>
          <w:tcPr>
            <w:tcW w:w="1434" w:type="dxa"/>
            <w:vMerge/>
            <w:noWrap/>
            <w:textDirection w:val="tbRl"/>
            <w:vAlign w:val="center"/>
            <w:hideMark/>
          </w:tcPr>
          <w:p w:rsidR="0064087B" w:rsidRPr="0064087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p>
        </w:tc>
        <w:tc>
          <w:tcPr>
            <w:tcW w:w="677" w:type="dxa"/>
            <w:vMerge/>
            <w:noWrap/>
            <w:textDirection w:val="tbRl"/>
            <w:vAlign w:val="center"/>
            <w:hideMark/>
          </w:tcPr>
          <w:p w:rsidR="0064087B" w:rsidRPr="0064087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p>
        </w:tc>
        <w:tc>
          <w:tcPr>
            <w:tcW w:w="828" w:type="dxa"/>
            <w:noWrap/>
            <w:textDirection w:val="tbRl"/>
            <w:vAlign w:val="center"/>
            <w:hideMark/>
          </w:tcPr>
          <w:p w:rsidR="0064087B" w:rsidRPr="00B71C1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Agri-food</w:t>
            </w:r>
          </w:p>
        </w:tc>
        <w:tc>
          <w:tcPr>
            <w:tcW w:w="790" w:type="dxa"/>
            <w:noWrap/>
            <w:textDirection w:val="tbRl"/>
            <w:vAlign w:val="center"/>
            <w:hideMark/>
          </w:tcPr>
          <w:p w:rsidR="0064087B" w:rsidRPr="00B71C1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Manufacturing/ Engineering</w:t>
            </w:r>
          </w:p>
        </w:tc>
        <w:tc>
          <w:tcPr>
            <w:tcW w:w="808" w:type="dxa"/>
            <w:noWrap/>
            <w:textDirection w:val="tbRl"/>
            <w:vAlign w:val="center"/>
            <w:hideMark/>
          </w:tcPr>
          <w:p w:rsidR="0064087B" w:rsidRPr="00B71C1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Visitor Economy</w:t>
            </w:r>
          </w:p>
        </w:tc>
        <w:tc>
          <w:tcPr>
            <w:tcW w:w="677" w:type="dxa"/>
            <w:noWrap/>
            <w:textDirection w:val="tbRl"/>
            <w:vAlign w:val="center"/>
            <w:hideMark/>
          </w:tcPr>
          <w:p w:rsidR="0064087B" w:rsidRPr="00B71C1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 xml:space="preserve">  Renewables</w:t>
            </w:r>
            <w:r w:rsidR="00665737" w:rsidRPr="00B71C1B">
              <w:rPr>
                <w:rFonts w:eastAsia="Times New Roman" w:cstheme="minorHAnsi"/>
                <w:lang w:eastAsia="en-GB"/>
              </w:rPr>
              <w:t>*</w:t>
            </w:r>
          </w:p>
        </w:tc>
        <w:tc>
          <w:tcPr>
            <w:tcW w:w="822" w:type="dxa"/>
            <w:noWrap/>
            <w:textDirection w:val="tbRl"/>
            <w:vAlign w:val="center"/>
            <w:hideMark/>
          </w:tcPr>
          <w:p w:rsidR="0064087B" w:rsidRPr="00B71C1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Ports &amp; Logistics</w:t>
            </w:r>
            <w:r w:rsidR="00665737" w:rsidRPr="00B71C1B">
              <w:rPr>
                <w:rFonts w:eastAsia="Times New Roman" w:cstheme="minorHAnsi"/>
                <w:lang w:eastAsia="en-GB"/>
              </w:rPr>
              <w:t>*</w:t>
            </w:r>
          </w:p>
        </w:tc>
        <w:tc>
          <w:tcPr>
            <w:tcW w:w="851" w:type="dxa"/>
            <w:noWrap/>
            <w:textDirection w:val="tbRl"/>
            <w:vAlign w:val="center"/>
            <w:hideMark/>
          </w:tcPr>
          <w:p w:rsidR="0064087B" w:rsidRPr="00B71C1B" w:rsidRDefault="0064087B" w:rsidP="0064087B">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Health &amp; Care</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64087B">
            <w:pPr>
              <w:spacing w:after="0"/>
              <w:rPr>
                <w:rFonts w:eastAsia="Times New Roman" w:cstheme="minorHAnsi"/>
                <w:b w:val="0"/>
                <w:i/>
                <w:color w:val="000000"/>
                <w:sz w:val="20"/>
                <w:szCs w:val="20"/>
                <w:lang w:eastAsia="en-GB"/>
              </w:rPr>
            </w:pPr>
          </w:p>
        </w:tc>
        <w:tc>
          <w:tcPr>
            <w:tcW w:w="1434" w:type="dxa"/>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left w:val="single" w:sz="8" w:space="0" w:color="73A5D8" w:themeColor="accent6"/>
            </w:tcBorders>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left w:val="single" w:sz="8" w:space="0" w:color="73A5D8" w:themeColor="accent6"/>
            </w:tcBorders>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64087B" w:rsidRPr="0064087B" w:rsidRDefault="0064087B" w:rsidP="0064087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64087B" w:rsidRPr="00F34AA3" w:rsidTr="00B43D4B">
        <w:trPr>
          <w:trHeight w:val="300"/>
        </w:trPr>
        <w:tc>
          <w:tcPr>
            <w:cnfStyle w:val="001000000000" w:firstRow="0" w:lastRow="0" w:firstColumn="1" w:lastColumn="0" w:oddVBand="0" w:evenVBand="0" w:oddHBand="0" w:evenHBand="0" w:firstRowFirstColumn="0" w:firstRowLastColumn="0" w:lastRowFirstColumn="0" w:lastRowLastColumn="0"/>
            <w:tcW w:w="4377" w:type="dxa"/>
            <w:gridSpan w:val="2"/>
            <w:noWrap/>
            <w:vAlign w:val="center"/>
            <w:hideMark/>
          </w:tcPr>
          <w:p w:rsidR="0064087B" w:rsidRPr="00F34AA3" w:rsidRDefault="0064087B" w:rsidP="00B43D4B">
            <w:pPr>
              <w:spacing w:before="40" w:after="40"/>
              <w:rPr>
                <w:rFonts w:eastAsia="Times New Roman" w:cstheme="minorHAnsi"/>
                <w:color w:val="000000"/>
                <w:sz w:val="20"/>
                <w:lang w:eastAsia="en-GB"/>
              </w:rPr>
            </w:pPr>
            <w:r w:rsidRPr="00F34AA3">
              <w:rPr>
                <w:rFonts w:eastAsia="Times New Roman" w:cstheme="minorHAnsi"/>
                <w:color w:val="000000"/>
                <w:sz w:val="20"/>
                <w:lang w:eastAsia="en-GB"/>
              </w:rPr>
              <w:t>No. of employees at that site</w:t>
            </w:r>
          </w:p>
        </w:tc>
        <w:tc>
          <w:tcPr>
            <w:tcW w:w="677" w:type="dxa"/>
            <w:tcBorders>
              <w:right w:val="single" w:sz="8" w:space="0" w:color="73A5D8" w:themeColor="accent6"/>
            </w:tcBorders>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790" w:type="dxa"/>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GB"/>
              </w:rPr>
            </w:pPr>
          </w:p>
        </w:tc>
        <w:tc>
          <w:tcPr>
            <w:tcW w:w="822" w:type="dxa"/>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GB"/>
              </w:rPr>
            </w:pPr>
          </w:p>
        </w:tc>
        <w:tc>
          <w:tcPr>
            <w:tcW w:w="851" w:type="dxa"/>
            <w:noWrap/>
            <w:hideMark/>
          </w:tcPr>
          <w:p w:rsidR="0064087B" w:rsidRPr="00F34AA3" w:rsidRDefault="0064087B" w:rsidP="00B43D4B">
            <w:pPr>
              <w:spacing w:before="40"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GB"/>
              </w:rPr>
            </w:pP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2-4 employees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47</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47</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45</w:t>
            </w:r>
          </w:p>
        </w:tc>
        <w:tc>
          <w:tcPr>
            <w:tcW w:w="790"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54</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44</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42</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41</w:t>
            </w:r>
          </w:p>
        </w:tc>
        <w:tc>
          <w:tcPr>
            <w:tcW w:w="851"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12</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5-9 employees</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26</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27</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24</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27</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30</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32</w:t>
            </w:r>
          </w:p>
        </w:tc>
        <w:tc>
          <w:tcPr>
            <w:tcW w:w="822"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32</w:t>
            </w:r>
          </w:p>
        </w:tc>
        <w:tc>
          <w:tcPr>
            <w:tcW w:w="851"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19</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10-24 employees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16</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16</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18</w:t>
            </w:r>
          </w:p>
        </w:tc>
        <w:tc>
          <w:tcPr>
            <w:tcW w:w="790"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14</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16</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11</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14</w:t>
            </w:r>
          </w:p>
        </w:tc>
        <w:tc>
          <w:tcPr>
            <w:tcW w:w="851"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31</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25-99 employees</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9</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8</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6</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9</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22"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13</w:t>
            </w:r>
          </w:p>
        </w:tc>
        <w:tc>
          <w:tcPr>
            <w:tcW w:w="851" w:type="dxa"/>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33</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100-249 employees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4</w:t>
            </w:r>
          </w:p>
        </w:tc>
        <w:tc>
          <w:tcPr>
            <w:tcW w:w="790"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51"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4</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250+ employees</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2</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15</w:t>
            </w:r>
          </w:p>
        </w:tc>
        <w:tc>
          <w:tcPr>
            <w:tcW w:w="822"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51"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r>
      <w:tr w:rsidR="0064087B" w:rsidRPr="00F34AA3"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F34AA3" w:rsidRDefault="0064087B" w:rsidP="00B43D4B">
            <w:pPr>
              <w:spacing w:before="40" w:after="40"/>
              <w:rPr>
                <w:rFonts w:eastAsia="Times New Roman" w:cstheme="minorHAnsi"/>
                <w:color w:val="000000"/>
                <w:sz w:val="20"/>
                <w:lang w:eastAsia="en-GB"/>
              </w:rPr>
            </w:pPr>
            <w:r w:rsidRPr="00F34AA3">
              <w:rPr>
                <w:rFonts w:eastAsia="Times New Roman" w:cstheme="minorHAnsi"/>
                <w:color w:val="000000"/>
                <w:sz w:val="20"/>
                <w:lang w:eastAsia="en-GB"/>
              </w:rPr>
              <w:t>No. of sites</w:t>
            </w:r>
          </w:p>
        </w:tc>
        <w:tc>
          <w:tcPr>
            <w:tcW w:w="1434" w:type="dxa"/>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677" w:type="dxa"/>
            <w:tcBorders>
              <w:right w:val="single" w:sz="8" w:space="0" w:color="73A5D8" w:themeColor="accent6"/>
            </w:tcBorders>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790" w:type="dxa"/>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n-GB"/>
              </w:rPr>
            </w:pPr>
          </w:p>
        </w:tc>
        <w:tc>
          <w:tcPr>
            <w:tcW w:w="822" w:type="dxa"/>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n-GB"/>
              </w:rPr>
            </w:pPr>
          </w:p>
        </w:tc>
        <w:tc>
          <w:tcPr>
            <w:tcW w:w="851" w:type="dxa"/>
            <w:noWrap/>
            <w:hideMark/>
          </w:tcPr>
          <w:p w:rsidR="0064087B" w:rsidRPr="00F34AA3" w:rsidRDefault="0064087B" w:rsidP="00B43D4B">
            <w:pPr>
              <w:spacing w:before="40"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n-GB"/>
              </w:rPr>
            </w:pP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Single site</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66</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66</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52</w:t>
            </w:r>
          </w:p>
        </w:tc>
        <w:tc>
          <w:tcPr>
            <w:tcW w:w="790" w:type="dxa"/>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85</w:t>
            </w:r>
          </w:p>
        </w:tc>
        <w:tc>
          <w:tcPr>
            <w:tcW w:w="808" w:type="dxa"/>
            <w:tcBorders>
              <w:righ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73</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53</w:t>
            </w:r>
          </w:p>
        </w:tc>
        <w:tc>
          <w:tcPr>
            <w:tcW w:w="822" w:type="dxa"/>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43</w:t>
            </w:r>
          </w:p>
        </w:tc>
        <w:tc>
          <w:tcPr>
            <w:tcW w:w="851" w:type="dxa"/>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48</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This site is a branch/subsidiary</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27</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27</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lang w:eastAsia="en-GB"/>
              </w:rPr>
            </w:pPr>
            <w:r w:rsidRPr="00C26F6A">
              <w:rPr>
                <w:rFonts w:eastAsia="Times New Roman" w:cstheme="minorHAnsi"/>
                <w:b/>
                <w:i/>
                <w:color w:val="000000"/>
                <w:lang w:eastAsia="en-GB"/>
              </w:rPr>
              <w:t>36</w:t>
            </w:r>
          </w:p>
        </w:tc>
        <w:tc>
          <w:tcPr>
            <w:tcW w:w="790"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12</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24</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22"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46</w:t>
            </w:r>
          </w:p>
        </w:tc>
        <w:tc>
          <w:tcPr>
            <w:tcW w:w="851"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40</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This site is HQ</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7</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7</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13</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w:t>
            </w:r>
          </w:p>
        </w:tc>
        <w:tc>
          <w:tcPr>
            <w:tcW w:w="808" w:type="dxa"/>
            <w:tcBorders>
              <w:righ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3</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47</w:t>
            </w:r>
          </w:p>
        </w:tc>
        <w:tc>
          <w:tcPr>
            <w:tcW w:w="822"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11</w:t>
            </w:r>
          </w:p>
        </w:tc>
        <w:tc>
          <w:tcPr>
            <w:tcW w:w="851" w:type="dxa"/>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12</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Summary: Multi site</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34</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34</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48</w:t>
            </w:r>
          </w:p>
        </w:tc>
        <w:tc>
          <w:tcPr>
            <w:tcW w:w="790"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15</w:t>
            </w:r>
          </w:p>
        </w:tc>
        <w:tc>
          <w:tcPr>
            <w:tcW w:w="808" w:type="dxa"/>
            <w:tcBorders>
              <w:righ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27</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47</w:t>
            </w:r>
          </w:p>
        </w:tc>
        <w:tc>
          <w:tcPr>
            <w:tcW w:w="822"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57</w:t>
            </w:r>
          </w:p>
        </w:tc>
        <w:tc>
          <w:tcPr>
            <w:tcW w:w="851"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52</w:t>
            </w:r>
          </w:p>
        </w:tc>
      </w:tr>
      <w:tr w:rsidR="0064087B" w:rsidRPr="0061781D"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1781D" w:rsidRDefault="0064087B" w:rsidP="00B43D4B">
            <w:pPr>
              <w:spacing w:before="40" w:after="40"/>
              <w:rPr>
                <w:rFonts w:eastAsia="Times New Roman" w:cstheme="minorHAnsi"/>
                <w:color w:val="000000"/>
                <w:sz w:val="20"/>
                <w:lang w:eastAsia="en-GB"/>
              </w:rPr>
            </w:pPr>
            <w:r w:rsidRPr="0061781D">
              <w:rPr>
                <w:rFonts w:eastAsia="Times New Roman" w:cstheme="minorHAnsi"/>
                <w:color w:val="000000"/>
                <w:sz w:val="20"/>
                <w:lang w:eastAsia="en-GB"/>
              </w:rPr>
              <w:t>No. of years trading</w:t>
            </w:r>
          </w:p>
        </w:tc>
        <w:tc>
          <w:tcPr>
            <w:tcW w:w="1434" w:type="dxa"/>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right w:val="single" w:sz="8" w:space="0" w:color="73A5D8" w:themeColor="accent6"/>
            </w:tcBorders>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790" w:type="dxa"/>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2" w:type="dxa"/>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51" w:type="dxa"/>
            <w:noWrap/>
            <w:vAlign w:val="center"/>
            <w:hideMark/>
          </w:tcPr>
          <w:p w:rsidR="0064087B" w:rsidRPr="0061781D"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Less than 6 months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790"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808" w:type="dxa"/>
            <w:tcBorders>
              <w:righ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5</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51"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Between 6 months and 1 year</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w:t>
            </w:r>
          </w:p>
        </w:tc>
        <w:tc>
          <w:tcPr>
            <w:tcW w:w="808" w:type="dxa"/>
            <w:tcBorders>
              <w:righ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4</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22"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51"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1 - 2 years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w:t>
            </w:r>
          </w:p>
        </w:tc>
        <w:tc>
          <w:tcPr>
            <w:tcW w:w="790"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5</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0</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w:t>
            </w:r>
          </w:p>
        </w:tc>
        <w:tc>
          <w:tcPr>
            <w:tcW w:w="851"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2 - 5 years</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9</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8</w:t>
            </w:r>
          </w:p>
        </w:tc>
        <w:tc>
          <w:tcPr>
            <w:tcW w:w="828"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7</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8</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12</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11</w:t>
            </w:r>
          </w:p>
        </w:tc>
        <w:tc>
          <w:tcPr>
            <w:tcW w:w="822"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5</w:t>
            </w:r>
          </w:p>
        </w:tc>
        <w:tc>
          <w:tcPr>
            <w:tcW w:w="851"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7</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5 - 10 years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17</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18</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8</w:t>
            </w:r>
          </w:p>
        </w:tc>
        <w:tc>
          <w:tcPr>
            <w:tcW w:w="790"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23</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20</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37</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22</w:t>
            </w:r>
          </w:p>
        </w:tc>
        <w:tc>
          <w:tcPr>
            <w:tcW w:w="851"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21</w:t>
            </w:r>
          </w:p>
        </w:tc>
      </w:tr>
      <w:tr w:rsidR="0064087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11 - 20 years</w:t>
            </w:r>
          </w:p>
        </w:tc>
        <w:tc>
          <w:tcPr>
            <w:tcW w:w="1434"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22</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22</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15</w:t>
            </w:r>
          </w:p>
        </w:tc>
        <w:tc>
          <w:tcPr>
            <w:tcW w:w="790"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28</w:t>
            </w:r>
          </w:p>
        </w:tc>
        <w:tc>
          <w:tcPr>
            <w:tcW w:w="808" w:type="dxa"/>
            <w:tcBorders>
              <w:righ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18</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15</w:t>
            </w:r>
          </w:p>
        </w:tc>
        <w:tc>
          <w:tcPr>
            <w:tcW w:w="822" w:type="dxa"/>
            <w:noWrap/>
            <w:vAlign w:val="center"/>
            <w:hideMark/>
          </w:tcPr>
          <w:p w:rsidR="0064087B" w:rsidRPr="00C26F6A"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7</w:t>
            </w:r>
          </w:p>
        </w:tc>
        <w:tc>
          <w:tcPr>
            <w:tcW w:w="851" w:type="dxa"/>
            <w:noWrap/>
            <w:vAlign w:val="center"/>
            <w:hideMark/>
          </w:tcPr>
          <w:p w:rsidR="0064087B" w:rsidRPr="0064087B" w:rsidRDefault="0064087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24</w:t>
            </w:r>
          </w:p>
        </w:tc>
      </w:tr>
      <w:tr w:rsidR="0064087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4087B" w:rsidRPr="0064087B" w:rsidRDefault="0064087B" w:rsidP="00B43D4B">
            <w:pPr>
              <w:spacing w:before="40" w:after="40"/>
              <w:rPr>
                <w:rFonts w:eastAsia="Times New Roman" w:cstheme="minorHAnsi"/>
                <w:b w:val="0"/>
                <w:color w:val="000000"/>
                <w:sz w:val="20"/>
                <w:lang w:eastAsia="en-GB"/>
              </w:rPr>
            </w:pPr>
            <w:r w:rsidRPr="0064087B">
              <w:rPr>
                <w:rFonts w:eastAsia="Times New Roman" w:cstheme="minorHAnsi"/>
                <w:b w:val="0"/>
                <w:color w:val="000000"/>
                <w:sz w:val="20"/>
                <w:lang w:eastAsia="en-GB"/>
              </w:rPr>
              <w:t>More than 20 years</w:t>
            </w:r>
          </w:p>
        </w:tc>
        <w:tc>
          <w:tcPr>
            <w:tcW w:w="1434"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47</w:t>
            </w:r>
          </w:p>
        </w:tc>
        <w:tc>
          <w:tcPr>
            <w:tcW w:w="677" w:type="dxa"/>
            <w:tcBorders>
              <w:righ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47</w:t>
            </w:r>
          </w:p>
        </w:tc>
        <w:tc>
          <w:tcPr>
            <w:tcW w:w="828" w:type="dxa"/>
            <w:tcBorders>
              <w:lef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67</w:t>
            </w:r>
          </w:p>
        </w:tc>
        <w:tc>
          <w:tcPr>
            <w:tcW w:w="790" w:type="dxa"/>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33</w:t>
            </w:r>
          </w:p>
        </w:tc>
        <w:tc>
          <w:tcPr>
            <w:tcW w:w="808" w:type="dxa"/>
            <w:tcBorders>
              <w:right w:val="single" w:sz="8" w:space="0" w:color="73A5D8" w:themeColor="accent6"/>
            </w:tcBorders>
            <w:noWrap/>
            <w:vAlign w:val="center"/>
            <w:hideMark/>
          </w:tcPr>
          <w:p w:rsidR="0064087B" w:rsidRPr="00C26F6A"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37</w:t>
            </w:r>
          </w:p>
        </w:tc>
        <w:tc>
          <w:tcPr>
            <w:tcW w:w="677" w:type="dxa"/>
            <w:tcBorders>
              <w:left w:val="single" w:sz="8" w:space="0" w:color="73A5D8" w:themeColor="accent6"/>
            </w:tcBorders>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37</w:t>
            </w:r>
          </w:p>
        </w:tc>
        <w:tc>
          <w:tcPr>
            <w:tcW w:w="822"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63</w:t>
            </w:r>
          </w:p>
        </w:tc>
        <w:tc>
          <w:tcPr>
            <w:tcW w:w="851" w:type="dxa"/>
            <w:noWrap/>
            <w:vAlign w:val="center"/>
            <w:hideMark/>
          </w:tcPr>
          <w:p w:rsidR="0064087B" w:rsidRPr="0064087B" w:rsidRDefault="0064087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40</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4087B" w:rsidRDefault="0064087B" w:rsidP="004C50E9">
      <w:pPr>
        <w:pStyle w:val="BodyText"/>
      </w:pPr>
    </w:p>
    <w:p w:rsidR="00B71C1B" w:rsidRDefault="00B71C1B">
      <w:pPr>
        <w:spacing w:after="360"/>
        <w:rPr>
          <w:rFonts w:asciiTheme="majorHAnsi" w:eastAsiaTheme="majorEastAsia" w:hAnsiTheme="majorHAnsi" w:cstheme="majorBidi"/>
          <w:b/>
          <w:bCs/>
          <w:color w:val="0075A4"/>
          <w:sz w:val="26"/>
          <w:szCs w:val="26"/>
        </w:rPr>
      </w:pPr>
      <w:r>
        <w:br w:type="page"/>
      </w:r>
    </w:p>
    <w:p w:rsidR="00651896" w:rsidRDefault="00665737" w:rsidP="00665737">
      <w:pPr>
        <w:pStyle w:val="Heading2"/>
      </w:pPr>
      <w:bookmarkStart w:id="79" w:name="_Toc394057570"/>
      <w:r>
        <w:t>Workforce change, skill needs and training</w:t>
      </w:r>
      <w:bookmarkEnd w:id="79"/>
    </w:p>
    <w:p w:rsidR="00B71C1B" w:rsidRDefault="00B71C1B" w:rsidP="00B71C1B">
      <w:pPr>
        <w:pStyle w:val="Caption"/>
      </w:pPr>
      <w:r>
        <w:t>Table 10.2:  Summary of workforce change, skill gaps, recruitment and training (all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B43D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4087B" w:rsidRDefault="00F42270" w:rsidP="00B43D4B">
            <w:pPr>
              <w:spacing w:after="0"/>
              <w:rPr>
                <w:rFonts w:eastAsia="Times New Roman" w:cstheme="minorHAnsi"/>
                <w:b w:val="0"/>
                <w:sz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B43D4B">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B43D4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65737" w:rsidRPr="0064087B" w:rsidTr="00B71C1B">
        <w:trPr>
          <w:cnfStyle w:val="000000100000" w:firstRow="0" w:lastRow="0" w:firstColumn="0" w:lastColumn="0" w:oddVBand="0" w:evenVBand="0" w:oddHBand="1" w:evenHBand="0" w:firstRowFirstColumn="0" w:firstRowLastColumn="0" w:lastRowFirstColumn="0" w:lastRowLastColumn="0"/>
          <w:cantSplit/>
          <w:trHeight w:val="2000"/>
        </w:trPr>
        <w:tc>
          <w:tcPr>
            <w:cnfStyle w:val="001000000000" w:firstRow="0" w:lastRow="0" w:firstColumn="1" w:lastColumn="0" w:oddVBand="0" w:evenVBand="0" w:oddHBand="0" w:evenHBand="0" w:firstRowFirstColumn="0" w:firstRowLastColumn="0" w:lastRowFirstColumn="0" w:lastRowLastColumn="0"/>
            <w:tcW w:w="2943" w:type="dxa"/>
            <w:shd w:val="clear" w:color="auto" w:fill="73A5D8" w:themeFill="accent6"/>
            <w:noWrap/>
            <w:textDirection w:val="tbRl"/>
            <w:vAlign w:val="center"/>
            <w:hideMark/>
          </w:tcPr>
          <w:p w:rsidR="00665737" w:rsidRPr="0064087B" w:rsidRDefault="00665737" w:rsidP="00B43D4B">
            <w:pPr>
              <w:spacing w:after="0"/>
              <w:ind w:left="113" w:right="113"/>
              <w:rPr>
                <w:rFonts w:eastAsia="Times New Roman" w:cstheme="minorHAnsi"/>
                <w:color w:val="FFFFFF" w:themeColor="background1"/>
                <w:sz w:val="20"/>
                <w:lang w:eastAsia="en-GB"/>
              </w:rPr>
            </w:pPr>
          </w:p>
        </w:tc>
        <w:tc>
          <w:tcPr>
            <w:tcW w:w="1434" w:type="dxa"/>
            <w:vMerge/>
            <w:shd w:val="clear" w:color="auto" w:fill="73A5D8" w:themeFill="accent6"/>
            <w:noWrap/>
            <w:textDirection w:val="tbRl"/>
            <w:vAlign w:val="center"/>
            <w:hideMark/>
          </w:tcPr>
          <w:p w:rsidR="00665737" w:rsidRPr="0064087B" w:rsidRDefault="00665737" w:rsidP="00B43D4B">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677" w:type="dxa"/>
            <w:vMerge/>
            <w:shd w:val="clear" w:color="auto" w:fill="73A5D8" w:themeFill="accent6"/>
            <w:noWrap/>
            <w:textDirection w:val="tbRl"/>
            <w:vAlign w:val="center"/>
            <w:hideMark/>
          </w:tcPr>
          <w:p w:rsidR="00665737" w:rsidRPr="0064087B" w:rsidRDefault="00665737" w:rsidP="00B43D4B">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828" w:type="dxa"/>
            <w:shd w:val="clear" w:color="auto" w:fill="73A5D8" w:themeFill="accent6"/>
            <w:noWrap/>
            <w:textDirection w:val="tbRl"/>
            <w:vAlign w:val="center"/>
            <w:hideMark/>
          </w:tcPr>
          <w:p w:rsidR="00665737" w:rsidRPr="0064087B" w:rsidRDefault="00665737" w:rsidP="00B43D4B">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Agri-food</w:t>
            </w:r>
          </w:p>
        </w:tc>
        <w:tc>
          <w:tcPr>
            <w:tcW w:w="790" w:type="dxa"/>
            <w:shd w:val="clear" w:color="auto" w:fill="73A5D8" w:themeFill="accent6"/>
            <w:noWrap/>
            <w:textDirection w:val="tbRl"/>
            <w:vAlign w:val="center"/>
            <w:hideMark/>
          </w:tcPr>
          <w:p w:rsidR="00665737" w:rsidRPr="0064087B" w:rsidRDefault="00665737" w:rsidP="00B43D4B">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Manufacturing/</w:t>
            </w:r>
            <w:r>
              <w:rPr>
                <w:rFonts w:eastAsia="Times New Roman" w:cstheme="minorHAnsi"/>
                <w:b/>
                <w:color w:val="FFFFFF" w:themeColor="background1"/>
                <w:lang w:eastAsia="en-GB"/>
              </w:rPr>
              <w:t xml:space="preserve"> </w:t>
            </w:r>
            <w:r w:rsidRPr="0064087B">
              <w:rPr>
                <w:rFonts w:eastAsia="Times New Roman" w:cstheme="minorHAnsi"/>
                <w:b/>
                <w:color w:val="FFFFFF" w:themeColor="background1"/>
                <w:lang w:eastAsia="en-GB"/>
              </w:rPr>
              <w:t>Engineering</w:t>
            </w:r>
          </w:p>
        </w:tc>
        <w:tc>
          <w:tcPr>
            <w:tcW w:w="808" w:type="dxa"/>
            <w:shd w:val="clear" w:color="auto" w:fill="73A5D8" w:themeFill="accent6"/>
            <w:noWrap/>
            <w:textDirection w:val="tbRl"/>
            <w:vAlign w:val="center"/>
            <w:hideMark/>
          </w:tcPr>
          <w:p w:rsidR="00665737" w:rsidRPr="0064087B" w:rsidRDefault="00665737" w:rsidP="00B43D4B">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Visitor Economy</w:t>
            </w:r>
          </w:p>
        </w:tc>
        <w:tc>
          <w:tcPr>
            <w:tcW w:w="677" w:type="dxa"/>
            <w:shd w:val="clear" w:color="auto" w:fill="73A5D8" w:themeFill="accent6"/>
            <w:noWrap/>
            <w:textDirection w:val="tbRl"/>
            <w:vAlign w:val="center"/>
            <w:hideMark/>
          </w:tcPr>
          <w:p w:rsidR="00665737" w:rsidRPr="0064087B" w:rsidRDefault="00665737"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 xml:space="preserve">  Renewables</w:t>
            </w:r>
            <w:r>
              <w:rPr>
                <w:rFonts w:eastAsia="Times New Roman" w:cstheme="minorHAnsi"/>
                <w:b/>
                <w:color w:val="FFFFFF" w:themeColor="background1"/>
                <w:lang w:eastAsia="en-GB"/>
              </w:rPr>
              <w:t>*</w:t>
            </w:r>
          </w:p>
        </w:tc>
        <w:tc>
          <w:tcPr>
            <w:tcW w:w="822" w:type="dxa"/>
            <w:shd w:val="clear" w:color="auto" w:fill="73A5D8" w:themeFill="accent6"/>
            <w:noWrap/>
            <w:textDirection w:val="tbRl"/>
            <w:vAlign w:val="center"/>
            <w:hideMark/>
          </w:tcPr>
          <w:p w:rsidR="00665737" w:rsidRPr="0064087B" w:rsidRDefault="00665737"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Ports &amp; Logistics</w:t>
            </w:r>
            <w:r>
              <w:rPr>
                <w:rFonts w:eastAsia="Times New Roman" w:cstheme="minorHAnsi"/>
                <w:b/>
                <w:color w:val="FFFFFF" w:themeColor="background1"/>
                <w:lang w:eastAsia="en-GB"/>
              </w:rPr>
              <w:t>*</w:t>
            </w:r>
          </w:p>
        </w:tc>
        <w:tc>
          <w:tcPr>
            <w:tcW w:w="851" w:type="dxa"/>
            <w:shd w:val="clear" w:color="auto" w:fill="73A5D8" w:themeFill="accent6"/>
            <w:noWrap/>
            <w:textDirection w:val="tbRl"/>
            <w:vAlign w:val="center"/>
            <w:hideMark/>
          </w:tcPr>
          <w:p w:rsidR="00665737" w:rsidRPr="0064087B" w:rsidRDefault="00665737" w:rsidP="00B43D4B">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Health &amp; Care</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64087B" w:rsidRDefault="00B43D4B" w:rsidP="00B43D4B">
            <w:pPr>
              <w:spacing w:after="0"/>
              <w:rPr>
                <w:rFonts w:eastAsia="Times New Roman" w:cstheme="minorHAnsi"/>
                <w:b w:val="0"/>
                <w:i/>
                <w:color w:val="000000"/>
                <w:sz w:val="20"/>
                <w:szCs w:val="20"/>
                <w:lang w:eastAsia="en-GB"/>
              </w:rPr>
            </w:pPr>
          </w:p>
        </w:tc>
        <w:tc>
          <w:tcPr>
            <w:tcW w:w="1434" w:type="dxa"/>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top w:val="single" w:sz="8" w:space="0" w:color="73A5D8" w:themeColor="accent6"/>
              <w:left w:val="single" w:sz="8" w:space="0" w:color="73A5D8" w:themeColor="accent6"/>
            </w:tcBorders>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top w:val="single" w:sz="8" w:space="0" w:color="73A5D8" w:themeColor="accent6"/>
              <w:left w:val="single" w:sz="8" w:space="0" w:color="73A5D8" w:themeColor="accent6"/>
            </w:tcBorders>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B43D4B" w:rsidRPr="0064087B" w:rsidRDefault="00B43D4B" w:rsidP="00B43D4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B43D4B" w:rsidRPr="00F34AA3"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7" w:type="dxa"/>
            <w:gridSpan w:val="2"/>
            <w:noWrap/>
            <w:vAlign w:val="center"/>
            <w:hideMark/>
          </w:tcPr>
          <w:p w:rsidR="00B43D4B" w:rsidRPr="00F34AA3" w:rsidRDefault="00B43D4B" w:rsidP="00B43D4B">
            <w:pPr>
              <w:spacing w:before="40" w:after="40"/>
              <w:rPr>
                <w:rFonts w:eastAsia="Times New Roman" w:cstheme="minorHAnsi"/>
                <w:color w:val="000000"/>
                <w:sz w:val="20"/>
                <w:szCs w:val="20"/>
                <w:lang w:eastAsia="en-GB"/>
              </w:rPr>
            </w:pPr>
            <w:r w:rsidRPr="00F34AA3">
              <w:rPr>
                <w:rFonts w:cstheme="minorHAnsi"/>
                <w:color w:val="000000"/>
                <w:sz w:val="20"/>
                <w:szCs w:val="20"/>
              </w:rPr>
              <w:t>Breakdown of workforce</w:t>
            </w:r>
          </w:p>
        </w:tc>
        <w:tc>
          <w:tcPr>
            <w:tcW w:w="677" w:type="dxa"/>
            <w:tcBorders>
              <w:right w:val="single" w:sz="8" w:space="0" w:color="73A5D8" w:themeColor="accent6"/>
            </w:tcBorders>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790" w:type="dxa"/>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22" w:type="dxa"/>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51" w:type="dxa"/>
            <w:noWrap/>
            <w:hideMark/>
          </w:tcPr>
          <w:p w:rsidR="00B43D4B" w:rsidRPr="00F34AA3" w:rsidRDefault="00B43D4B" w:rsidP="00B43D4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C676F2"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C676F2" w:rsidRPr="00B43D4B" w:rsidRDefault="00C676F2" w:rsidP="00B43D4B">
            <w:pPr>
              <w:spacing w:before="40" w:after="40"/>
              <w:rPr>
                <w:rFonts w:cstheme="minorHAnsi"/>
                <w:b w:val="0"/>
                <w:color w:val="000000"/>
                <w:sz w:val="20"/>
                <w:szCs w:val="20"/>
              </w:rPr>
            </w:pPr>
            <w:r w:rsidRPr="00B43D4B">
              <w:rPr>
                <w:rFonts w:cstheme="minorHAnsi"/>
                <w:b w:val="0"/>
                <w:color w:val="000000"/>
                <w:sz w:val="20"/>
                <w:szCs w:val="20"/>
              </w:rPr>
              <w:t>Full time</w:t>
            </w:r>
          </w:p>
        </w:tc>
        <w:tc>
          <w:tcPr>
            <w:tcW w:w="1434" w:type="dxa"/>
            <w:noWrap/>
            <w:vAlign w:val="center"/>
            <w:hideMark/>
          </w:tcPr>
          <w:p w:rsidR="00C676F2" w:rsidRPr="0064087B"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65</w:t>
            </w:r>
          </w:p>
        </w:tc>
        <w:tc>
          <w:tcPr>
            <w:tcW w:w="677" w:type="dxa"/>
            <w:tcBorders>
              <w:right w:val="single" w:sz="8" w:space="0" w:color="73A5D8" w:themeColor="accent6"/>
            </w:tcBorders>
            <w:noWrap/>
            <w:vAlign w:val="center"/>
            <w:hideMark/>
          </w:tcPr>
          <w:p w:rsidR="00C676F2" w:rsidRPr="0064087B"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66</w:t>
            </w:r>
          </w:p>
        </w:tc>
        <w:tc>
          <w:tcPr>
            <w:tcW w:w="828" w:type="dxa"/>
            <w:tcBorders>
              <w:left w:val="single" w:sz="8" w:space="0" w:color="73A5D8" w:themeColor="accent6"/>
            </w:tcBorders>
            <w:noWrap/>
            <w:vAlign w:val="center"/>
            <w:hideMark/>
          </w:tcPr>
          <w:p w:rsidR="00C676F2" w:rsidRPr="00C26F6A"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61</w:t>
            </w:r>
          </w:p>
        </w:tc>
        <w:tc>
          <w:tcPr>
            <w:tcW w:w="790" w:type="dxa"/>
            <w:noWrap/>
            <w:vAlign w:val="center"/>
            <w:hideMark/>
          </w:tcPr>
          <w:p w:rsidR="00C676F2" w:rsidRPr="00C26F6A"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91</w:t>
            </w:r>
          </w:p>
        </w:tc>
        <w:tc>
          <w:tcPr>
            <w:tcW w:w="808" w:type="dxa"/>
            <w:tcBorders>
              <w:right w:val="single" w:sz="8" w:space="0" w:color="73A5D8" w:themeColor="accent6"/>
            </w:tcBorders>
            <w:noWrap/>
            <w:vAlign w:val="center"/>
            <w:hideMark/>
          </w:tcPr>
          <w:p w:rsidR="00C676F2" w:rsidRPr="00C26F6A"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40</w:t>
            </w:r>
          </w:p>
        </w:tc>
        <w:tc>
          <w:tcPr>
            <w:tcW w:w="677" w:type="dxa"/>
            <w:tcBorders>
              <w:left w:val="single" w:sz="8" w:space="0" w:color="73A5D8" w:themeColor="accent6"/>
            </w:tcBorders>
            <w:noWrap/>
            <w:vAlign w:val="center"/>
            <w:hideMark/>
          </w:tcPr>
          <w:p w:rsidR="00C676F2" w:rsidRPr="00C26F6A"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98</w:t>
            </w:r>
          </w:p>
        </w:tc>
        <w:tc>
          <w:tcPr>
            <w:tcW w:w="822" w:type="dxa"/>
            <w:noWrap/>
            <w:vAlign w:val="center"/>
            <w:hideMark/>
          </w:tcPr>
          <w:p w:rsidR="00C676F2" w:rsidRPr="00C26F6A"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97</w:t>
            </w:r>
          </w:p>
        </w:tc>
        <w:tc>
          <w:tcPr>
            <w:tcW w:w="851" w:type="dxa"/>
            <w:noWrap/>
            <w:vAlign w:val="center"/>
            <w:hideMark/>
          </w:tcPr>
          <w:p w:rsidR="00C676F2" w:rsidRPr="00C26F6A" w:rsidRDefault="00C676F2" w:rsidP="00C676F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55</w:t>
            </w:r>
          </w:p>
        </w:tc>
      </w:tr>
      <w:tr w:rsidR="00C676F2"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C676F2" w:rsidRPr="00B43D4B" w:rsidRDefault="00C676F2" w:rsidP="00B43D4B">
            <w:pPr>
              <w:spacing w:before="40" w:after="40"/>
              <w:rPr>
                <w:rFonts w:cstheme="minorHAnsi"/>
                <w:b w:val="0"/>
                <w:color w:val="000000"/>
                <w:sz w:val="20"/>
                <w:szCs w:val="20"/>
              </w:rPr>
            </w:pPr>
            <w:r w:rsidRPr="00B43D4B">
              <w:rPr>
                <w:rFonts w:cstheme="minorHAnsi"/>
                <w:b w:val="0"/>
                <w:color w:val="000000"/>
                <w:sz w:val="20"/>
                <w:szCs w:val="20"/>
              </w:rPr>
              <w:t>Part time</w:t>
            </w:r>
          </w:p>
        </w:tc>
        <w:tc>
          <w:tcPr>
            <w:tcW w:w="1434" w:type="dxa"/>
            <w:noWrap/>
            <w:vAlign w:val="center"/>
            <w:hideMark/>
          </w:tcPr>
          <w:p w:rsidR="00C676F2" w:rsidRPr="0064087B"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34</w:t>
            </w:r>
          </w:p>
        </w:tc>
        <w:tc>
          <w:tcPr>
            <w:tcW w:w="677" w:type="dxa"/>
            <w:tcBorders>
              <w:right w:val="single" w:sz="8" w:space="0" w:color="73A5D8" w:themeColor="accent6"/>
            </w:tcBorders>
            <w:noWrap/>
            <w:vAlign w:val="center"/>
            <w:hideMark/>
          </w:tcPr>
          <w:p w:rsidR="00C676F2" w:rsidRPr="0064087B"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64087B">
              <w:rPr>
                <w:rFonts w:eastAsia="Times New Roman" w:cstheme="minorHAnsi"/>
                <w:color w:val="000000"/>
                <w:lang w:eastAsia="en-GB"/>
              </w:rPr>
              <w:t>33</w:t>
            </w:r>
          </w:p>
        </w:tc>
        <w:tc>
          <w:tcPr>
            <w:tcW w:w="828" w:type="dxa"/>
            <w:tcBorders>
              <w:left w:val="single" w:sz="8" w:space="0" w:color="73A5D8" w:themeColor="accent6"/>
            </w:tcBorders>
            <w:noWrap/>
            <w:vAlign w:val="center"/>
            <w:hideMark/>
          </w:tcPr>
          <w:p w:rsidR="00C676F2" w:rsidRPr="00C26F6A"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39</w:t>
            </w:r>
          </w:p>
        </w:tc>
        <w:tc>
          <w:tcPr>
            <w:tcW w:w="790" w:type="dxa"/>
            <w:noWrap/>
            <w:vAlign w:val="center"/>
            <w:hideMark/>
          </w:tcPr>
          <w:p w:rsidR="00C676F2" w:rsidRPr="00C26F6A"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9</w:t>
            </w:r>
          </w:p>
        </w:tc>
        <w:tc>
          <w:tcPr>
            <w:tcW w:w="808" w:type="dxa"/>
            <w:tcBorders>
              <w:right w:val="single" w:sz="8" w:space="0" w:color="73A5D8" w:themeColor="accent6"/>
            </w:tcBorders>
            <w:noWrap/>
            <w:vAlign w:val="center"/>
            <w:hideMark/>
          </w:tcPr>
          <w:p w:rsidR="00C676F2" w:rsidRPr="00C26F6A"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59</w:t>
            </w:r>
          </w:p>
        </w:tc>
        <w:tc>
          <w:tcPr>
            <w:tcW w:w="677" w:type="dxa"/>
            <w:tcBorders>
              <w:left w:val="single" w:sz="8" w:space="0" w:color="73A5D8" w:themeColor="accent6"/>
            </w:tcBorders>
            <w:noWrap/>
            <w:vAlign w:val="center"/>
            <w:hideMark/>
          </w:tcPr>
          <w:p w:rsidR="00C676F2" w:rsidRPr="00C26F6A"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2</w:t>
            </w:r>
          </w:p>
        </w:tc>
        <w:tc>
          <w:tcPr>
            <w:tcW w:w="822" w:type="dxa"/>
            <w:noWrap/>
            <w:vAlign w:val="center"/>
            <w:hideMark/>
          </w:tcPr>
          <w:p w:rsidR="00C676F2" w:rsidRPr="00C26F6A"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eastAsia="en-GB"/>
              </w:rPr>
            </w:pPr>
            <w:r w:rsidRPr="00C26F6A">
              <w:rPr>
                <w:rFonts w:eastAsia="Times New Roman" w:cstheme="minorHAnsi"/>
                <w:i/>
                <w:color w:val="000000"/>
                <w:lang w:eastAsia="en-GB"/>
              </w:rPr>
              <w:t>3</w:t>
            </w:r>
          </w:p>
        </w:tc>
        <w:tc>
          <w:tcPr>
            <w:tcW w:w="851" w:type="dxa"/>
            <w:noWrap/>
            <w:vAlign w:val="center"/>
            <w:hideMark/>
          </w:tcPr>
          <w:p w:rsidR="00C676F2" w:rsidRPr="00C26F6A" w:rsidRDefault="00C676F2" w:rsidP="00C676F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r w:rsidRPr="00C26F6A">
              <w:rPr>
                <w:rFonts w:eastAsia="Times New Roman" w:cstheme="minorHAnsi"/>
                <w:b/>
                <w:color w:val="000000"/>
                <w:lang w:eastAsia="en-GB"/>
              </w:rPr>
              <w:t>39</w:t>
            </w:r>
          </w:p>
        </w:tc>
      </w:tr>
      <w:tr w:rsidR="00F34AA3" w:rsidRPr="0064087B" w:rsidTr="00F34AA3">
        <w:trPr>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F34AA3" w:rsidRPr="00F34AA3" w:rsidRDefault="00F34AA3" w:rsidP="00F34AA3">
            <w:pPr>
              <w:spacing w:before="40" w:after="40"/>
              <w:rPr>
                <w:rFonts w:eastAsia="Times New Roman" w:cstheme="minorHAnsi"/>
                <w:color w:val="000000"/>
                <w:lang w:eastAsia="en-GB"/>
              </w:rPr>
            </w:pPr>
            <w:r w:rsidRPr="00F34AA3">
              <w:rPr>
                <w:rFonts w:cstheme="minorHAnsi"/>
                <w:color w:val="000000"/>
                <w:sz w:val="20"/>
                <w:szCs w:val="20"/>
              </w:rPr>
              <w:t>Workforce change in the last 12 months</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Increased</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22</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22</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18</w:t>
            </w:r>
          </w:p>
        </w:tc>
        <w:tc>
          <w:tcPr>
            <w:tcW w:w="790"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32</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22</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48</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19</w:t>
            </w:r>
          </w:p>
        </w:tc>
        <w:tc>
          <w:tcPr>
            <w:tcW w:w="851"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22</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Decreased</w:t>
            </w:r>
          </w:p>
        </w:tc>
        <w:tc>
          <w:tcPr>
            <w:tcW w:w="1434"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9</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9</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10</w:t>
            </w:r>
          </w:p>
        </w:tc>
        <w:tc>
          <w:tcPr>
            <w:tcW w:w="790"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7</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6</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0</w:t>
            </w:r>
          </w:p>
        </w:tc>
        <w:tc>
          <w:tcPr>
            <w:tcW w:w="822"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12</w:t>
            </w:r>
          </w:p>
        </w:tc>
        <w:tc>
          <w:tcPr>
            <w:tcW w:w="851"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7</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Remained the same</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68</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68</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72</w:t>
            </w:r>
          </w:p>
        </w:tc>
        <w:tc>
          <w:tcPr>
            <w:tcW w:w="790"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60</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70</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52</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69</w:t>
            </w:r>
          </w:p>
        </w:tc>
        <w:tc>
          <w:tcPr>
            <w:tcW w:w="851"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71</w:t>
            </w:r>
          </w:p>
        </w:tc>
      </w:tr>
      <w:tr w:rsidR="00F34AA3" w:rsidRPr="0064087B" w:rsidTr="00F34AA3">
        <w:trPr>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F34AA3" w:rsidRPr="00F34AA3" w:rsidRDefault="00F34AA3" w:rsidP="00F34AA3">
            <w:pPr>
              <w:spacing w:before="40" w:after="40"/>
              <w:rPr>
                <w:rFonts w:eastAsia="Times New Roman" w:cstheme="minorHAnsi"/>
                <w:color w:val="000000"/>
                <w:lang w:eastAsia="en-GB"/>
              </w:rPr>
            </w:pPr>
            <w:r w:rsidRPr="00F34AA3">
              <w:rPr>
                <w:rFonts w:cstheme="minorHAnsi"/>
                <w:color w:val="000000"/>
                <w:sz w:val="20"/>
                <w:szCs w:val="20"/>
              </w:rPr>
              <w:t>Workforce change in the next 12 months</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Increase</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27</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27</w:t>
            </w:r>
          </w:p>
        </w:tc>
        <w:tc>
          <w:tcPr>
            <w:tcW w:w="828" w:type="dxa"/>
            <w:tcBorders>
              <w:left w:val="single" w:sz="8" w:space="0" w:color="73A5D8" w:themeColor="accent6"/>
            </w:tcBorders>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20</w:t>
            </w:r>
          </w:p>
        </w:tc>
        <w:tc>
          <w:tcPr>
            <w:tcW w:w="790"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41</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28</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26</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24</w:t>
            </w:r>
          </w:p>
        </w:tc>
        <w:tc>
          <w:tcPr>
            <w:tcW w:w="851"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28</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Decrease</w:t>
            </w:r>
          </w:p>
        </w:tc>
        <w:tc>
          <w:tcPr>
            <w:tcW w:w="1434"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w:t>
            </w:r>
          </w:p>
        </w:tc>
        <w:tc>
          <w:tcPr>
            <w:tcW w:w="790"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0</w:t>
            </w:r>
          </w:p>
        </w:tc>
        <w:tc>
          <w:tcPr>
            <w:tcW w:w="822"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w:t>
            </w:r>
          </w:p>
        </w:tc>
        <w:tc>
          <w:tcPr>
            <w:tcW w:w="851"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5</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Remain the same</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68</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68</w:t>
            </w:r>
          </w:p>
        </w:tc>
        <w:tc>
          <w:tcPr>
            <w:tcW w:w="828" w:type="dxa"/>
            <w:tcBorders>
              <w:left w:val="single" w:sz="8" w:space="0" w:color="73A5D8" w:themeColor="accent6"/>
            </w:tcBorders>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75</w:t>
            </w:r>
          </w:p>
        </w:tc>
        <w:tc>
          <w:tcPr>
            <w:tcW w:w="790"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54</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65</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74</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72</w:t>
            </w:r>
          </w:p>
        </w:tc>
        <w:tc>
          <w:tcPr>
            <w:tcW w:w="851"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66</w:t>
            </w:r>
          </w:p>
        </w:tc>
      </w:tr>
      <w:tr w:rsidR="00B43D4B" w:rsidRPr="00F34AA3"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F34AA3" w:rsidRDefault="00B43D4B" w:rsidP="00B43D4B">
            <w:pPr>
              <w:spacing w:before="40" w:after="40"/>
              <w:rPr>
                <w:rFonts w:eastAsia="Times New Roman" w:cstheme="minorHAnsi"/>
                <w:color w:val="000000"/>
                <w:sz w:val="20"/>
                <w:szCs w:val="20"/>
                <w:lang w:eastAsia="en-GB"/>
              </w:rPr>
            </w:pPr>
            <w:r w:rsidRPr="00F34AA3">
              <w:rPr>
                <w:rFonts w:cstheme="minorHAnsi"/>
                <w:color w:val="000000"/>
                <w:sz w:val="20"/>
                <w:szCs w:val="20"/>
              </w:rPr>
              <w:t>Recruitment</w:t>
            </w:r>
          </w:p>
        </w:tc>
        <w:tc>
          <w:tcPr>
            <w:tcW w:w="1434"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righ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790"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2"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51"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Have recruited in last 12 months</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48</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48</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46</w:t>
            </w:r>
          </w:p>
        </w:tc>
        <w:tc>
          <w:tcPr>
            <w:tcW w:w="790"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38</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49</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63</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36</w:t>
            </w:r>
          </w:p>
        </w:tc>
        <w:tc>
          <w:tcPr>
            <w:tcW w:w="851"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77</w:t>
            </w:r>
          </w:p>
        </w:tc>
      </w:tr>
      <w:tr w:rsidR="00B43D4B" w:rsidRPr="00F34AA3"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F34AA3" w:rsidRDefault="00B43D4B" w:rsidP="00B43D4B">
            <w:pPr>
              <w:spacing w:before="40" w:after="40"/>
              <w:rPr>
                <w:rFonts w:eastAsia="Times New Roman" w:cstheme="minorHAnsi"/>
                <w:color w:val="000000"/>
                <w:sz w:val="20"/>
                <w:szCs w:val="20"/>
                <w:lang w:eastAsia="en-GB"/>
              </w:rPr>
            </w:pPr>
            <w:r w:rsidRPr="00F34AA3">
              <w:rPr>
                <w:rFonts w:cstheme="minorHAnsi"/>
                <w:color w:val="000000"/>
                <w:sz w:val="20"/>
                <w:szCs w:val="20"/>
              </w:rPr>
              <w:t>Skill gaps</w:t>
            </w:r>
          </w:p>
        </w:tc>
        <w:tc>
          <w:tcPr>
            <w:tcW w:w="1434"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righ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790"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2"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51" w:type="dxa"/>
            <w:noWrap/>
            <w:vAlign w:val="center"/>
            <w:hideMark/>
          </w:tcPr>
          <w:p w:rsidR="00B43D4B" w:rsidRPr="00F34AA3"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Have skill gaps in current workforce</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8</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10</w:t>
            </w:r>
          </w:p>
        </w:tc>
        <w:tc>
          <w:tcPr>
            <w:tcW w:w="790"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15</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7</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0</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8</w:t>
            </w:r>
          </w:p>
        </w:tc>
        <w:tc>
          <w:tcPr>
            <w:tcW w:w="851"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8</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Have skill gaps in terms of meeting future objectives</w:t>
            </w:r>
          </w:p>
        </w:tc>
        <w:tc>
          <w:tcPr>
            <w:tcW w:w="1434"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15</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14</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16</w:t>
            </w:r>
          </w:p>
        </w:tc>
        <w:tc>
          <w:tcPr>
            <w:tcW w:w="790"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12</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16</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0</w:t>
            </w:r>
          </w:p>
        </w:tc>
        <w:tc>
          <w:tcPr>
            <w:tcW w:w="822"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5</w:t>
            </w:r>
          </w:p>
        </w:tc>
        <w:tc>
          <w:tcPr>
            <w:tcW w:w="851"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11</w:t>
            </w:r>
          </w:p>
        </w:tc>
      </w:tr>
      <w:tr w:rsidR="00B43D4B" w:rsidRPr="00F34AA3"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43D4B" w:rsidRPr="00F34AA3" w:rsidRDefault="00B43D4B" w:rsidP="00B43D4B">
            <w:pPr>
              <w:spacing w:before="40" w:after="40"/>
              <w:rPr>
                <w:rFonts w:eastAsia="Times New Roman" w:cstheme="minorHAnsi"/>
                <w:color w:val="000000"/>
                <w:sz w:val="20"/>
                <w:szCs w:val="20"/>
                <w:lang w:eastAsia="en-GB"/>
              </w:rPr>
            </w:pPr>
            <w:r w:rsidRPr="00F34AA3">
              <w:rPr>
                <w:rFonts w:cstheme="minorHAnsi"/>
                <w:color w:val="000000"/>
                <w:sz w:val="20"/>
                <w:szCs w:val="20"/>
              </w:rPr>
              <w:t>Training and development</w:t>
            </w:r>
          </w:p>
        </w:tc>
        <w:tc>
          <w:tcPr>
            <w:tcW w:w="1434" w:type="dxa"/>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677" w:type="dxa"/>
            <w:tcBorders>
              <w:right w:val="single" w:sz="8" w:space="0" w:color="73A5D8" w:themeColor="accent6"/>
            </w:tcBorders>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790" w:type="dxa"/>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22" w:type="dxa"/>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c>
          <w:tcPr>
            <w:tcW w:w="851" w:type="dxa"/>
            <w:noWrap/>
            <w:vAlign w:val="center"/>
            <w:hideMark/>
          </w:tcPr>
          <w:p w:rsidR="00B43D4B" w:rsidRPr="00F34AA3"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Any off-the-job training</w:t>
            </w:r>
          </w:p>
        </w:tc>
        <w:tc>
          <w:tcPr>
            <w:tcW w:w="1434"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48</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47</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45</w:t>
            </w:r>
          </w:p>
        </w:tc>
        <w:tc>
          <w:tcPr>
            <w:tcW w:w="790"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41</w:t>
            </w:r>
          </w:p>
        </w:tc>
        <w:tc>
          <w:tcPr>
            <w:tcW w:w="808" w:type="dxa"/>
            <w:tcBorders>
              <w:right w:val="single" w:sz="8" w:space="0" w:color="73A5D8" w:themeColor="accent6"/>
            </w:tcBorders>
            <w:noWrap/>
            <w:vAlign w:val="center"/>
            <w:hideMark/>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36</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58</w:t>
            </w:r>
          </w:p>
        </w:tc>
        <w:tc>
          <w:tcPr>
            <w:tcW w:w="822"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54</w:t>
            </w:r>
          </w:p>
        </w:tc>
        <w:tc>
          <w:tcPr>
            <w:tcW w:w="851" w:type="dxa"/>
            <w:noWrap/>
            <w:vAlign w:val="center"/>
            <w:hideMark/>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79</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Any on-the-job training</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51</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50</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48</w:t>
            </w:r>
          </w:p>
        </w:tc>
        <w:tc>
          <w:tcPr>
            <w:tcW w:w="790"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43</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44</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80</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53</w:t>
            </w:r>
          </w:p>
        </w:tc>
        <w:tc>
          <w:tcPr>
            <w:tcW w:w="851"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82</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Both on and off-the-job training</w:t>
            </w:r>
          </w:p>
        </w:tc>
        <w:tc>
          <w:tcPr>
            <w:tcW w:w="1434"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34</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34</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31</w:t>
            </w:r>
          </w:p>
        </w:tc>
        <w:tc>
          <w:tcPr>
            <w:tcW w:w="790" w:type="dxa"/>
            <w:noWrap/>
            <w:vAlign w:val="center"/>
            <w:hideMark/>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23</w:t>
            </w:r>
          </w:p>
        </w:tc>
        <w:tc>
          <w:tcPr>
            <w:tcW w:w="808" w:type="dxa"/>
            <w:tcBorders>
              <w:right w:val="single" w:sz="8" w:space="0" w:color="73A5D8" w:themeColor="accent6"/>
            </w:tcBorders>
            <w:noWrap/>
            <w:vAlign w:val="center"/>
            <w:hideMark/>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27</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58</w:t>
            </w:r>
          </w:p>
        </w:tc>
        <w:tc>
          <w:tcPr>
            <w:tcW w:w="822"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41</w:t>
            </w:r>
          </w:p>
        </w:tc>
        <w:tc>
          <w:tcPr>
            <w:tcW w:w="851" w:type="dxa"/>
            <w:noWrap/>
            <w:vAlign w:val="center"/>
            <w:hideMark/>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69</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Off-the-job training only</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13</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13</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14</w:t>
            </w:r>
          </w:p>
        </w:tc>
        <w:tc>
          <w:tcPr>
            <w:tcW w:w="790"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18</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9</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0</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14</w:t>
            </w:r>
          </w:p>
        </w:tc>
        <w:tc>
          <w:tcPr>
            <w:tcW w:w="851"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10</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On-the-job training only</w:t>
            </w:r>
          </w:p>
        </w:tc>
        <w:tc>
          <w:tcPr>
            <w:tcW w:w="1434"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17</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16</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16</w:t>
            </w:r>
          </w:p>
        </w:tc>
        <w:tc>
          <w:tcPr>
            <w:tcW w:w="790"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20</w:t>
            </w:r>
          </w:p>
        </w:tc>
        <w:tc>
          <w:tcPr>
            <w:tcW w:w="808" w:type="dxa"/>
            <w:tcBorders>
              <w:righ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17</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22</w:t>
            </w:r>
          </w:p>
        </w:tc>
        <w:tc>
          <w:tcPr>
            <w:tcW w:w="822"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12</w:t>
            </w:r>
          </w:p>
        </w:tc>
        <w:tc>
          <w:tcPr>
            <w:tcW w:w="851" w:type="dxa"/>
            <w:noWrap/>
            <w:vAlign w:val="center"/>
            <w:hideMark/>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14</w:t>
            </w:r>
          </w:p>
        </w:tc>
      </w:tr>
      <w:tr w:rsidR="00B43D4B" w:rsidRPr="0064087B" w:rsidTr="00B43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Any training</w:t>
            </w:r>
          </w:p>
        </w:tc>
        <w:tc>
          <w:tcPr>
            <w:tcW w:w="1434"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64</w:t>
            </w:r>
          </w:p>
        </w:tc>
        <w:tc>
          <w:tcPr>
            <w:tcW w:w="677" w:type="dxa"/>
            <w:tcBorders>
              <w:righ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63</w:t>
            </w:r>
          </w:p>
        </w:tc>
        <w:tc>
          <w:tcPr>
            <w:tcW w:w="828"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62</w:t>
            </w:r>
          </w:p>
        </w:tc>
        <w:tc>
          <w:tcPr>
            <w:tcW w:w="790"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61</w:t>
            </w:r>
          </w:p>
        </w:tc>
        <w:tc>
          <w:tcPr>
            <w:tcW w:w="808" w:type="dxa"/>
            <w:tcBorders>
              <w:right w:val="single" w:sz="8" w:space="0" w:color="73A5D8" w:themeColor="accent6"/>
            </w:tcBorders>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53</w:t>
            </w:r>
          </w:p>
        </w:tc>
        <w:tc>
          <w:tcPr>
            <w:tcW w:w="677" w:type="dxa"/>
            <w:tcBorders>
              <w:left w:val="single" w:sz="8" w:space="0" w:color="73A5D8" w:themeColor="accent6"/>
            </w:tcBorders>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80</w:t>
            </w:r>
          </w:p>
        </w:tc>
        <w:tc>
          <w:tcPr>
            <w:tcW w:w="822" w:type="dxa"/>
            <w:noWrap/>
            <w:vAlign w:val="center"/>
            <w:hideMark/>
          </w:tcPr>
          <w:p w:rsidR="00B43D4B" w:rsidRPr="00B43D4B"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43D4B">
              <w:rPr>
                <w:rFonts w:cstheme="minorHAnsi"/>
                <w:color w:val="000000"/>
              </w:rPr>
              <w:t>66</w:t>
            </w:r>
          </w:p>
        </w:tc>
        <w:tc>
          <w:tcPr>
            <w:tcW w:w="851" w:type="dxa"/>
            <w:noWrap/>
            <w:vAlign w:val="center"/>
            <w:hideMark/>
          </w:tcPr>
          <w:p w:rsidR="00B43D4B" w:rsidRPr="00C676F2" w:rsidRDefault="00B43D4B" w:rsidP="00B43D4B">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92</w:t>
            </w:r>
          </w:p>
        </w:tc>
      </w:tr>
      <w:tr w:rsidR="00B43D4B" w:rsidRPr="0064087B" w:rsidTr="00B43D4B">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tcPr>
          <w:p w:rsidR="00B43D4B" w:rsidRPr="00B43D4B" w:rsidRDefault="00B43D4B" w:rsidP="00B43D4B">
            <w:pPr>
              <w:spacing w:before="40" w:after="40"/>
              <w:rPr>
                <w:rFonts w:cstheme="minorHAnsi"/>
                <w:b w:val="0"/>
                <w:color w:val="000000"/>
                <w:sz w:val="20"/>
                <w:szCs w:val="20"/>
              </w:rPr>
            </w:pPr>
            <w:r w:rsidRPr="00B43D4B">
              <w:rPr>
                <w:rFonts w:cstheme="minorHAnsi"/>
                <w:b w:val="0"/>
                <w:color w:val="000000"/>
                <w:sz w:val="20"/>
                <w:szCs w:val="20"/>
              </w:rPr>
              <w:t>No training</w:t>
            </w:r>
          </w:p>
        </w:tc>
        <w:tc>
          <w:tcPr>
            <w:tcW w:w="1434" w:type="dxa"/>
            <w:noWrap/>
            <w:vAlign w:val="center"/>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36</w:t>
            </w:r>
          </w:p>
        </w:tc>
        <w:tc>
          <w:tcPr>
            <w:tcW w:w="677" w:type="dxa"/>
            <w:tcBorders>
              <w:right w:val="single" w:sz="8" w:space="0" w:color="73A5D8" w:themeColor="accent6"/>
            </w:tcBorders>
            <w:noWrap/>
            <w:vAlign w:val="center"/>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37</w:t>
            </w:r>
          </w:p>
        </w:tc>
        <w:tc>
          <w:tcPr>
            <w:tcW w:w="828" w:type="dxa"/>
            <w:tcBorders>
              <w:left w:val="single" w:sz="8" w:space="0" w:color="73A5D8" w:themeColor="accent6"/>
            </w:tcBorders>
            <w:noWrap/>
            <w:vAlign w:val="center"/>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38</w:t>
            </w:r>
          </w:p>
        </w:tc>
        <w:tc>
          <w:tcPr>
            <w:tcW w:w="790" w:type="dxa"/>
            <w:noWrap/>
            <w:vAlign w:val="center"/>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39</w:t>
            </w:r>
          </w:p>
        </w:tc>
        <w:tc>
          <w:tcPr>
            <w:tcW w:w="808" w:type="dxa"/>
            <w:tcBorders>
              <w:right w:val="single" w:sz="8" w:space="0" w:color="73A5D8" w:themeColor="accent6"/>
            </w:tcBorders>
            <w:noWrap/>
            <w:vAlign w:val="center"/>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47</w:t>
            </w:r>
          </w:p>
        </w:tc>
        <w:tc>
          <w:tcPr>
            <w:tcW w:w="677" w:type="dxa"/>
            <w:tcBorders>
              <w:left w:val="single" w:sz="8" w:space="0" w:color="73A5D8" w:themeColor="accent6"/>
            </w:tcBorders>
            <w:noWrap/>
            <w:vAlign w:val="center"/>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20</w:t>
            </w:r>
          </w:p>
        </w:tc>
        <w:tc>
          <w:tcPr>
            <w:tcW w:w="822" w:type="dxa"/>
            <w:noWrap/>
            <w:vAlign w:val="center"/>
          </w:tcPr>
          <w:p w:rsidR="00B43D4B" w:rsidRPr="00B43D4B"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43D4B">
              <w:rPr>
                <w:rFonts w:cstheme="minorHAnsi"/>
                <w:color w:val="000000"/>
              </w:rPr>
              <w:t>34</w:t>
            </w:r>
          </w:p>
        </w:tc>
        <w:tc>
          <w:tcPr>
            <w:tcW w:w="851" w:type="dxa"/>
            <w:noWrap/>
            <w:vAlign w:val="center"/>
          </w:tcPr>
          <w:p w:rsidR="00B43D4B" w:rsidRPr="00C676F2" w:rsidRDefault="00B43D4B" w:rsidP="00B43D4B">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8</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51896" w:rsidRDefault="00665737" w:rsidP="00665737">
      <w:pPr>
        <w:pStyle w:val="Heading2"/>
      </w:pPr>
      <w:bookmarkStart w:id="80" w:name="_Toc394057571"/>
      <w:r>
        <w:t>Perceptions of Greater Lincolnshire</w:t>
      </w:r>
      <w:bookmarkEnd w:id="80"/>
    </w:p>
    <w:p w:rsidR="00B71C1B" w:rsidRDefault="00B71C1B" w:rsidP="00B71C1B">
      <w:pPr>
        <w:pStyle w:val="Caption"/>
      </w:pPr>
      <w:r>
        <w:t>Table 10.3:  Perceptions of Greater Lincolnshire as a place to do business (all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B71C1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65737" w:rsidRDefault="00F42270" w:rsidP="00665737">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65737" w:rsidRPr="0064087B" w:rsidTr="00B71C1B">
        <w:trPr>
          <w:cnfStyle w:val="100000000000" w:firstRow="1" w:lastRow="0" w:firstColumn="0" w:lastColumn="0" w:oddVBand="0" w:evenVBand="0" w:oddHBand="0" w:evenHBand="0" w:firstRowFirstColumn="0" w:firstRowLastColumn="0" w:lastRowFirstColumn="0" w:lastRowLastColumn="0"/>
          <w:cantSplit/>
          <w:trHeight w:val="2431"/>
          <w:tblHeader/>
        </w:trPr>
        <w:tc>
          <w:tcPr>
            <w:cnfStyle w:val="001000000000" w:firstRow="0" w:lastRow="0" w:firstColumn="1" w:lastColumn="0" w:oddVBand="0" w:evenVBand="0" w:oddHBand="0" w:evenHBand="0" w:firstRowFirstColumn="0" w:firstRowLastColumn="0" w:lastRowFirstColumn="0" w:lastRowLastColumn="0"/>
            <w:tcW w:w="2943" w:type="dxa"/>
            <w:noWrap/>
            <w:textDirection w:val="tbRl"/>
            <w:vAlign w:val="center"/>
            <w:hideMark/>
          </w:tcPr>
          <w:p w:rsidR="00665737" w:rsidRPr="00665737" w:rsidRDefault="00665737" w:rsidP="00665737">
            <w:pPr>
              <w:spacing w:after="0"/>
              <w:ind w:left="113" w:right="113"/>
              <w:rPr>
                <w:rFonts w:eastAsia="Times New Roman" w:cstheme="minorHAnsi"/>
                <w:b w:val="0"/>
                <w:sz w:val="20"/>
                <w:szCs w:val="20"/>
                <w:lang w:eastAsia="en-GB"/>
              </w:rPr>
            </w:pPr>
          </w:p>
        </w:tc>
        <w:tc>
          <w:tcPr>
            <w:tcW w:w="1434" w:type="dxa"/>
            <w:vMerge/>
            <w:noWrap/>
            <w:textDirection w:val="tbRl"/>
            <w:vAlign w:val="center"/>
            <w:hideMark/>
          </w:tcPr>
          <w:p w:rsidR="00665737" w:rsidRPr="0064087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p>
        </w:tc>
        <w:tc>
          <w:tcPr>
            <w:tcW w:w="677" w:type="dxa"/>
            <w:vMerge/>
            <w:noWrap/>
            <w:textDirection w:val="tbRl"/>
            <w:vAlign w:val="center"/>
            <w:hideMark/>
          </w:tcPr>
          <w:p w:rsidR="00665737" w:rsidRPr="0064087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p>
        </w:tc>
        <w:tc>
          <w:tcPr>
            <w:tcW w:w="828" w:type="dxa"/>
            <w:noWrap/>
            <w:textDirection w:val="tbRl"/>
            <w:vAlign w:val="center"/>
            <w:hideMark/>
          </w:tcPr>
          <w:p w:rsidR="00665737" w:rsidRPr="00B71C1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Agri-food</w:t>
            </w:r>
          </w:p>
        </w:tc>
        <w:tc>
          <w:tcPr>
            <w:tcW w:w="790" w:type="dxa"/>
            <w:noWrap/>
            <w:textDirection w:val="tbRl"/>
            <w:vAlign w:val="center"/>
            <w:hideMark/>
          </w:tcPr>
          <w:p w:rsidR="00665737" w:rsidRPr="00B71C1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Manufacturing/ Engineering</w:t>
            </w:r>
          </w:p>
        </w:tc>
        <w:tc>
          <w:tcPr>
            <w:tcW w:w="808" w:type="dxa"/>
            <w:noWrap/>
            <w:textDirection w:val="tbRl"/>
            <w:vAlign w:val="center"/>
            <w:hideMark/>
          </w:tcPr>
          <w:p w:rsidR="00665737" w:rsidRPr="00B71C1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Visitor Economy</w:t>
            </w:r>
          </w:p>
        </w:tc>
        <w:tc>
          <w:tcPr>
            <w:tcW w:w="677" w:type="dxa"/>
            <w:noWrap/>
            <w:textDirection w:val="tbRl"/>
            <w:vAlign w:val="center"/>
            <w:hideMark/>
          </w:tcPr>
          <w:p w:rsidR="00665737" w:rsidRPr="00B71C1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 xml:space="preserve">  Renewables*</w:t>
            </w:r>
          </w:p>
        </w:tc>
        <w:tc>
          <w:tcPr>
            <w:tcW w:w="822" w:type="dxa"/>
            <w:noWrap/>
            <w:textDirection w:val="tbRl"/>
            <w:vAlign w:val="center"/>
            <w:hideMark/>
          </w:tcPr>
          <w:p w:rsidR="00665737" w:rsidRPr="00B71C1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Ports &amp; Logistics*</w:t>
            </w:r>
          </w:p>
        </w:tc>
        <w:tc>
          <w:tcPr>
            <w:tcW w:w="851" w:type="dxa"/>
            <w:noWrap/>
            <w:textDirection w:val="tbRl"/>
            <w:vAlign w:val="center"/>
            <w:hideMark/>
          </w:tcPr>
          <w:p w:rsidR="00665737" w:rsidRPr="00B71C1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B71C1B">
              <w:rPr>
                <w:rFonts w:eastAsia="Times New Roman" w:cstheme="minorHAnsi"/>
                <w:lang w:eastAsia="en-GB"/>
              </w:rPr>
              <w:t>Health &amp; Care</w:t>
            </w:r>
          </w:p>
        </w:tc>
      </w:tr>
      <w:tr w:rsidR="00665737" w:rsidRPr="0064087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665737" w:rsidRDefault="00665737" w:rsidP="00665737">
            <w:pPr>
              <w:spacing w:before="40" w:after="40"/>
              <w:rPr>
                <w:rFonts w:eastAsia="Times New Roman" w:cstheme="minorHAnsi"/>
                <w:b w:val="0"/>
                <w:i/>
                <w:color w:val="000000"/>
                <w:sz w:val="20"/>
                <w:szCs w:val="20"/>
                <w:lang w:eastAsia="en-GB"/>
              </w:rPr>
            </w:pPr>
          </w:p>
        </w:tc>
        <w:tc>
          <w:tcPr>
            <w:tcW w:w="1434" w:type="dxa"/>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left w:val="single" w:sz="8" w:space="0" w:color="73A5D8" w:themeColor="accent6"/>
            </w:tcBorders>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left w:val="single" w:sz="8" w:space="0" w:color="73A5D8" w:themeColor="accent6"/>
            </w:tcBorders>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665737" w:rsidRPr="0064087B"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665737" w:rsidRPr="00F34AA3" w:rsidTr="00665737">
        <w:trPr>
          <w:trHeight w:val="300"/>
        </w:trPr>
        <w:tc>
          <w:tcPr>
            <w:cnfStyle w:val="001000000000" w:firstRow="0" w:lastRow="0" w:firstColumn="1" w:lastColumn="0" w:oddVBand="0" w:evenVBand="0" w:oddHBand="0" w:evenHBand="0" w:firstRowFirstColumn="0" w:firstRowLastColumn="0" w:lastRowFirstColumn="0" w:lastRowLastColumn="0"/>
            <w:tcW w:w="4377" w:type="dxa"/>
            <w:gridSpan w:val="2"/>
            <w:noWrap/>
            <w:vAlign w:val="center"/>
            <w:hideMark/>
          </w:tcPr>
          <w:p w:rsidR="00665737" w:rsidRPr="00F34AA3" w:rsidRDefault="00665737" w:rsidP="00665737">
            <w:pPr>
              <w:spacing w:before="40" w:after="40"/>
              <w:rPr>
                <w:rFonts w:cstheme="minorHAnsi"/>
                <w:color w:val="000000"/>
                <w:sz w:val="20"/>
                <w:szCs w:val="20"/>
              </w:rPr>
            </w:pPr>
            <w:r w:rsidRPr="00F34AA3">
              <w:rPr>
                <w:rFonts w:cstheme="minorHAnsi"/>
                <w:color w:val="000000"/>
                <w:sz w:val="20"/>
                <w:szCs w:val="20"/>
              </w:rPr>
              <w:t>Access to suppliers</w:t>
            </w:r>
          </w:p>
        </w:tc>
        <w:tc>
          <w:tcPr>
            <w:tcW w:w="677" w:type="dxa"/>
            <w:tcBorders>
              <w:right w:val="single" w:sz="8" w:space="0" w:color="73A5D8" w:themeColor="accent6"/>
            </w:tcBorders>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8" w:type="dxa"/>
            <w:tcBorders>
              <w:left w:val="single" w:sz="8" w:space="0" w:color="73A5D8" w:themeColor="accent6"/>
            </w:tcBorders>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790" w:type="dxa"/>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08" w:type="dxa"/>
            <w:tcBorders>
              <w:right w:val="single" w:sz="8" w:space="0" w:color="73A5D8" w:themeColor="accent6"/>
            </w:tcBorders>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677" w:type="dxa"/>
            <w:tcBorders>
              <w:left w:val="single" w:sz="8" w:space="0" w:color="73A5D8" w:themeColor="accent6"/>
            </w:tcBorders>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22" w:type="dxa"/>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c>
          <w:tcPr>
            <w:tcW w:w="851" w:type="dxa"/>
            <w:noWrap/>
            <w:hideMark/>
          </w:tcPr>
          <w:p w:rsidR="00665737" w:rsidRPr="00F34AA3" w:rsidRDefault="00665737" w:rsidP="0066573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GB"/>
              </w:rPr>
            </w:pPr>
          </w:p>
        </w:tc>
      </w:tr>
      <w:tr w:rsidR="00665737"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w:t>
            </w:r>
          </w:p>
        </w:tc>
        <w:tc>
          <w:tcPr>
            <w:tcW w:w="790" w:type="dxa"/>
            <w:noWrap/>
            <w:vAlign w:val="center"/>
            <w:hideMark/>
          </w:tcPr>
          <w:p w:rsidR="00665737" w:rsidRPr="00C676F2"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7</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w:t>
            </w:r>
          </w:p>
        </w:tc>
      </w:tr>
      <w:tr w:rsidR="00665737"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10</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11</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11</w:t>
            </w:r>
          </w:p>
        </w:tc>
        <w:tc>
          <w:tcPr>
            <w:tcW w:w="790" w:type="dxa"/>
            <w:noWrap/>
            <w:vAlign w:val="center"/>
            <w:hideMark/>
          </w:tcPr>
          <w:p w:rsidR="00665737" w:rsidRPr="00C676F2"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19</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8</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8</w:t>
            </w:r>
          </w:p>
        </w:tc>
      </w:tr>
      <w:tr w:rsidR="00665737" w:rsidRPr="0064087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70</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68</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68</w:t>
            </w:r>
          </w:p>
        </w:tc>
        <w:tc>
          <w:tcPr>
            <w:tcW w:w="790" w:type="dxa"/>
            <w:noWrap/>
            <w:vAlign w:val="center"/>
            <w:hideMark/>
          </w:tcPr>
          <w:p w:rsidR="00665737" w:rsidRPr="00C676F2"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i/>
                <w:color w:val="000000"/>
              </w:rPr>
            </w:pPr>
            <w:r w:rsidRPr="00C676F2">
              <w:rPr>
                <w:rFonts w:cstheme="minorHAnsi"/>
                <w:b/>
                <w:i/>
                <w:color w:val="000000"/>
              </w:rPr>
              <w:t>58</w:t>
            </w:r>
          </w:p>
        </w:tc>
        <w:tc>
          <w:tcPr>
            <w:tcW w:w="808" w:type="dxa"/>
            <w:tcBorders>
              <w:right w:val="single" w:sz="8" w:space="0" w:color="73A5D8" w:themeColor="accent6"/>
            </w:tcBorders>
            <w:noWrap/>
            <w:vAlign w:val="center"/>
            <w:hideMark/>
          </w:tcPr>
          <w:p w:rsidR="00665737" w:rsidRPr="00C676F2"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79</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84</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66</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68</w:t>
            </w:r>
          </w:p>
        </w:tc>
      </w:tr>
      <w:tr w:rsidR="00665737"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42</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40</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43</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38</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44</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48</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34</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46</w:t>
            </w:r>
          </w:p>
        </w:tc>
      </w:tr>
      <w:tr w:rsidR="00665737" w:rsidRPr="00F34AA3"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F34AA3" w:rsidRDefault="00665737" w:rsidP="00665737">
            <w:pPr>
              <w:spacing w:before="40" w:after="40"/>
              <w:rPr>
                <w:rFonts w:cstheme="minorHAnsi"/>
                <w:color w:val="000000"/>
                <w:sz w:val="20"/>
                <w:szCs w:val="20"/>
              </w:rPr>
            </w:pPr>
            <w:r w:rsidRPr="00F34AA3">
              <w:rPr>
                <w:rFonts w:cstheme="minorHAnsi"/>
                <w:color w:val="000000"/>
                <w:sz w:val="20"/>
                <w:szCs w:val="20"/>
              </w:rPr>
              <w:t>Access to customers</w:t>
            </w:r>
          </w:p>
        </w:tc>
        <w:tc>
          <w:tcPr>
            <w:tcW w:w="1434" w:type="dxa"/>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677" w:type="dxa"/>
            <w:tcBorders>
              <w:right w:val="single" w:sz="8" w:space="0" w:color="73A5D8" w:themeColor="accent6"/>
            </w:tcBorders>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828" w:type="dxa"/>
            <w:tcBorders>
              <w:left w:val="single" w:sz="8" w:space="0" w:color="73A5D8" w:themeColor="accent6"/>
            </w:tcBorders>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790" w:type="dxa"/>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808" w:type="dxa"/>
            <w:tcBorders>
              <w:right w:val="single" w:sz="8" w:space="0" w:color="73A5D8" w:themeColor="accent6"/>
            </w:tcBorders>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677" w:type="dxa"/>
            <w:tcBorders>
              <w:left w:val="single" w:sz="8" w:space="0" w:color="73A5D8" w:themeColor="accent6"/>
            </w:tcBorders>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822" w:type="dxa"/>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c>
          <w:tcPr>
            <w:tcW w:w="851" w:type="dxa"/>
            <w:noWrap/>
            <w:vAlign w:val="center"/>
            <w:hideMark/>
          </w:tcPr>
          <w:p w:rsidR="00665737" w:rsidRPr="00F34AA3"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w:t>
            </w:r>
          </w:p>
        </w:tc>
        <w:tc>
          <w:tcPr>
            <w:tcW w:w="790" w:type="dxa"/>
            <w:noWrap/>
            <w:vAlign w:val="center"/>
            <w:hideMark/>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11</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w:t>
            </w:r>
          </w:p>
        </w:tc>
        <w:tc>
          <w:tcPr>
            <w:tcW w:w="851"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w:t>
            </w:r>
          </w:p>
        </w:tc>
      </w:tr>
      <w:tr w:rsidR="00B71C1B" w:rsidRPr="0064087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10</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11</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7</w:t>
            </w:r>
          </w:p>
        </w:tc>
        <w:tc>
          <w:tcPr>
            <w:tcW w:w="790"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14</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11</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11</w:t>
            </w:r>
          </w:p>
        </w:tc>
        <w:tc>
          <w:tcPr>
            <w:tcW w:w="851"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13</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75</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74</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74</w:t>
            </w:r>
          </w:p>
        </w:tc>
        <w:tc>
          <w:tcPr>
            <w:tcW w:w="790" w:type="dxa"/>
            <w:noWrap/>
            <w:vAlign w:val="center"/>
            <w:hideMark/>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66</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76</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53</w:t>
            </w:r>
          </w:p>
        </w:tc>
        <w:tc>
          <w:tcPr>
            <w:tcW w:w="822"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61</w:t>
            </w:r>
          </w:p>
        </w:tc>
        <w:tc>
          <w:tcPr>
            <w:tcW w:w="851"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68</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48</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55</w:t>
            </w:r>
          </w:p>
        </w:tc>
        <w:tc>
          <w:tcPr>
            <w:tcW w:w="790"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45</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53</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41</w:t>
            </w:r>
          </w:p>
        </w:tc>
        <w:tc>
          <w:tcPr>
            <w:tcW w:w="851"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r>
      <w:tr w:rsidR="00665737" w:rsidRPr="00F34AA3"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65737" w:rsidRPr="00F34AA3" w:rsidRDefault="00665737" w:rsidP="00665737">
            <w:pPr>
              <w:spacing w:before="40" w:after="40"/>
              <w:rPr>
                <w:rFonts w:cstheme="minorHAnsi"/>
                <w:color w:val="000000"/>
                <w:sz w:val="20"/>
                <w:szCs w:val="20"/>
              </w:rPr>
            </w:pPr>
            <w:r w:rsidRPr="00F34AA3">
              <w:rPr>
                <w:rFonts w:cstheme="minorHAnsi"/>
                <w:color w:val="000000"/>
                <w:sz w:val="20"/>
                <w:szCs w:val="20"/>
              </w:rPr>
              <w:t>Availability of skilled staff</w:t>
            </w:r>
          </w:p>
        </w:tc>
        <w:tc>
          <w:tcPr>
            <w:tcW w:w="1434" w:type="dxa"/>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677" w:type="dxa"/>
            <w:tcBorders>
              <w:right w:val="single" w:sz="8" w:space="0" w:color="73A5D8" w:themeColor="accent6"/>
            </w:tcBorders>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28" w:type="dxa"/>
            <w:tcBorders>
              <w:left w:val="single" w:sz="8" w:space="0" w:color="73A5D8" w:themeColor="accent6"/>
            </w:tcBorders>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790" w:type="dxa"/>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08" w:type="dxa"/>
            <w:tcBorders>
              <w:right w:val="single" w:sz="8" w:space="0" w:color="73A5D8" w:themeColor="accent6"/>
            </w:tcBorders>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677" w:type="dxa"/>
            <w:tcBorders>
              <w:left w:val="single" w:sz="8" w:space="0" w:color="73A5D8" w:themeColor="accent6"/>
            </w:tcBorders>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22" w:type="dxa"/>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51" w:type="dxa"/>
            <w:noWrap/>
            <w:vAlign w:val="center"/>
            <w:hideMark/>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r>
      <w:tr w:rsidR="00B71C1B" w:rsidRPr="0064087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w:t>
            </w:r>
          </w:p>
        </w:tc>
        <w:tc>
          <w:tcPr>
            <w:tcW w:w="790" w:type="dxa"/>
            <w:noWrap/>
            <w:vAlign w:val="center"/>
            <w:hideMark/>
          </w:tcPr>
          <w:p w:rsidR="00B71C1B" w:rsidRPr="00C676F2"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16</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w:t>
            </w:r>
          </w:p>
        </w:tc>
        <w:tc>
          <w:tcPr>
            <w:tcW w:w="851"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17</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18</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14</w:t>
            </w:r>
          </w:p>
        </w:tc>
        <w:tc>
          <w:tcPr>
            <w:tcW w:w="790" w:type="dxa"/>
            <w:noWrap/>
            <w:vAlign w:val="center"/>
            <w:hideMark/>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29</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12</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15</w:t>
            </w:r>
          </w:p>
        </w:tc>
        <w:tc>
          <w:tcPr>
            <w:tcW w:w="822"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19</w:t>
            </w:r>
          </w:p>
        </w:tc>
        <w:tc>
          <w:tcPr>
            <w:tcW w:w="851"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21</w:t>
            </w:r>
          </w:p>
        </w:tc>
      </w:tr>
      <w:tr w:rsidR="00B71C1B" w:rsidRPr="0064087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61</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59</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65</w:t>
            </w:r>
          </w:p>
        </w:tc>
        <w:tc>
          <w:tcPr>
            <w:tcW w:w="790" w:type="dxa"/>
            <w:noWrap/>
            <w:vAlign w:val="center"/>
            <w:hideMark/>
          </w:tcPr>
          <w:p w:rsidR="00B71C1B" w:rsidRPr="00C676F2"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48</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64</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70</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851"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60</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33</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31</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38</w:t>
            </w:r>
          </w:p>
        </w:tc>
        <w:tc>
          <w:tcPr>
            <w:tcW w:w="790"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24</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30</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14</w:t>
            </w:r>
          </w:p>
        </w:tc>
        <w:tc>
          <w:tcPr>
            <w:tcW w:w="851"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38</w:t>
            </w:r>
          </w:p>
        </w:tc>
      </w:tr>
      <w:tr w:rsidR="00F34AA3" w:rsidRPr="00F34AA3" w:rsidTr="00F34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F34AA3" w:rsidRPr="00F34AA3" w:rsidRDefault="00F34AA3" w:rsidP="00F34AA3">
            <w:pPr>
              <w:spacing w:before="40" w:after="40"/>
              <w:rPr>
                <w:rFonts w:cstheme="minorHAnsi"/>
                <w:color w:val="000000"/>
              </w:rPr>
            </w:pPr>
            <w:r w:rsidRPr="00F34AA3">
              <w:rPr>
                <w:rFonts w:cstheme="minorHAnsi"/>
                <w:color w:val="000000"/>
                <w:sz w:val="20"/>
                <w:szCs w:val="20"/>
              </w:rPr>
              <w:t>A place my business can grow</w:t>
            </w:r>
          </w:p>
        </w:tc>
      </w:tr>
      <w:tr w:rsidR="00B71C1B" w:rsidRPr="0064087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w:t>
            </w:r>
          </w:p>
        </w:tc>
        <w:tc>
          <w:tcPr>
            <w:tcW w:w="790"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13</w:t>
            </w:r>
          </w:p>
        </w:tc>
        <w:tc>
          <w:tcPr>
            <w:tcW w:w="851" w:type="dxa"/>
            <w:noWrap/>
            <w:vAlign w:val="center"/>
            <w:hideMark/>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7</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10</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10</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12</w:t>
            </w:r>
          </w:p>
        </w:tc>
        <w:tc>
          <w:tcPr>
            <w:tcW w:w="790"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11</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12</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20</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19</w:t>
            </w:r>
          </w:p>
        </w:tc>
        <w:tc>
          <w:tcPr>
            <w:tcW w:w="851"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12</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73</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72</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67</w:t>
            </w:r>
          </w:p>
        </w:tc>
        <w:tc>
          <w:tcPr>
            <w:tcW w:w="790"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70</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71</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53</w:t>
            </w:r>
          </w:p>
        </w:tc>
        <w:tc>
          <w:tcPr>
            <w:tcW w:w="822"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57</w:t>
            </w:r>
          </w:p>
        </w:tc>
        <w:tc>
          <w:tcPr>
            <w:tcW w:w="851"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67</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42</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41</w:t>
            </w:r>
          </w:p>
        </w:tc>
        <w:tc>
          <w:tcPr>
            <w:tcW w:w="828"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37</w:t>
            </w:r>
          </w:p>
        </w:tc>
        <w:tc>
          <w:tcPr>
            <w:tcW w:w="790"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42</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40</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22</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33</w:t>
            </w:r>
          </w:p>
        </w:tc>
        <w:tc>
          <w:tcPr>
            <w:tcW w:w="851"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42</w:t>
            </w:r>
          </w:p>
        </w:tc>
      </w:tr>
      <w:tr w:rsidR="00F34AA3" w:rsidRPr="00B43D4B" w:rsidTr="00F34AA3">
        <w:trPr>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F34AA3" w:rsidRPr="00F34AA3" w:rsidRDefault="00F34AA3" w:rsidP="00F34AA3">
            <w:pPr>
              <w:spacing w:before="40" w:after="40"/>
              <w:rPr>
                <w:rFonts w:cstheme="minorHAnsi"/>
                <w:color w:val="000000"/>
              </w:rPr>
            </w:pPr>
            <w:r w:rsidRPr="00F34AA3">
              <w:rPr>
                <w:rFonts w:cstheme="minorHAnsi"/>
                <w:color w:val="000000"/>
                <w:sz w:val="20"/>
                <w:szCs w:val="20"/>
              </w:rPr>
              <w:t>Support is available for businesses to grow</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9</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9</w:t>
            </w:r>
          </w:p>
        </w:tc>
        <w:tc>
          <w:tcPr>
            <w:tcW w:w="828" w:type="dxa"/>
            <w:tcBorders>
              <w:left w:val="single" w:sz="8" w:space="0" w:color="73A5D8" w:themeColor="accent6"/>
            </w:tcBorders>
            <w:noWrap/>
            <w:vAlign w:val="center"/>
            <w:hideMark/>
          </w:tcPr>
          <w:p w:rsidR="00B71C1B" w:rsidRPr="00C676F2"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4</w:t>
            </w:r>
          </w:p>
        </w:tc>
        <w:tc>
          <w:tcPr>
            <w:tcW w:w="790" w:type="dxa"/>
            <w:noWrap/>
            <w:vAlign w:val="center"/>
            <w:hideMark/>
          </w:tcPr>
          <w:p w:rsidR="00B71C1B" w:rsidRPr="00C676F2"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18</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15</w:t>
            </w:r>
          </w:p>
        </w:tc>
        <w:tc>
          <w:tcPr>
            <w:tcW w:w="822" w:type="dxa"/>
            <w:noWrap/>
            <w:vAlign w:val="center"/>
            <w:hideMark/>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18</w:t>
            </w:r>
          </w:p>
        </w:tc>
        <w:tc>
          <w:tcPr>
            <w:tcW w:w="851" w:type="dxa"/>
            <w:noWrap/>
            <w:vAlign w:val="center"/>
            <w:hideMark/>
          </w:tcPr>
          <w:p w:rsidR="00B71C1B" w:rsidRPr="00C676F2"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13</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19</w:t>
            </w:r>
          </w:p>
        </w:tc>
        <w:tc>
          <w:tcPr>
            <w:tcW w:w="677"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20</w:t>
            </w:r>
          </w:p>
        </w:tc>
        <w:tc>
          <w:tcPr>
            <w:tcW w:w="828" w:type="dxa"/>
            <w:tcBorders>
              <w:left w:val="single" w:sz="8" w:space="0" w:color="73A5D8" w:themeColor="accent6"/>
            </w:tcBorders>
            <w:noWrap/>
            <w:vAlign w:val="center"/>
            <w:hideMark/>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11</w:t>
            </w:r>
          </w:p>
        </w:tc>
        <w:tc>
          <w:tcPr>
            <w:tcW w:w="790"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27</w:t>
            </w:r>
          </w:p>
        </w:tc>
        <w:tc>
          <w:tcPr>
            <w:tcW w:w="808" w:type="dxa"/>
            <w:tcBorders>
              <w:righ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21</w:t>
            </w:r>
          </w:p>
        </w:tc>
        <w:tc>
          <w:tcPr>
            <w:tcW w:w="677" w:type="dxa"/>
            <w:tcBorders>
              <w:left w:val="single" w:sz="8" w:space="0" w:color="73A5D8" w:themeColor="accent6"/>
            </w:tcBorders>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51</w:t>
            </w:r>
          </w:p>
        </w:tc>
        <w:tc>
          <w:tcPr>
            <w:tcW w:w="822"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24</w:t>
            </w:r>
          </w:p>
        </w:tc>
        <w:tc>
          <w:tcPr>
            <w:tcW w:w="851" w:type="dxa"/>
            <w:noWrap/>
            <w:vAlign w:val="center"/>
            <w:hideMark/>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22</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52</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52</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47</w:t>
            </w:r>
          </w:p>
        </w:tc>
        <w:tc>
          <w:tcPr>
            <w:tcW w:w="790"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42</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53</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22</w:t>
            </w:r>
          </w:p>
        </w:tc>
        <w:tc>
          <w:tcPr>
            <w:tcW w:w="822"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53</w:t>
            </w:r>
          </w:p>
        </w:tc>
        <w:tc>
          <w:tcPr>
            <w:tcW w:w="851"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52</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25</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24</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25</w:t>
            </w:r>
          </w:p>
        </w:tc>
        <w:tc>
          <w:tcPr>
            <w:tcW w:w="790"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21</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24</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22</w:t>
            </w:r>
          </w:p>
        </w:tc>
        <w:tc>
          <w:tcPr>
            <w:tcW w:w="822"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22</w:t>
            </w:r>
          </w:p>
        </w:tc>
        <w:tc>
          <w:tcPr>
            <w:tcW w:w="851"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32</w:t>
            </w:r>
          </w:p>
        </w:tc>
      </w:tr>
      <w:tr w:rsidR="00F34AA3" w:rsidRPr="00F34AA3" w:rsidTr="00F34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tcPr>
          <w:p w:rsidR="00F34AA3" w:rsidRPr="00F34AA3" w:rsidRDefault="00F34AA3" w:rsidP="00F34AA3">
            <w:pPr>
              <w:spacing w:before="40" w:after="40"/>
              <w:rPr>
                <w:rFonts w:cstheme="minorHAnsi"/>
                <w:color w:val="000000"/>
              </w:rPr>
            </w:pPr>
            <w:r w:rsidRPr="00F34AA3">
              <w:rPr>
                <w:rFonts w:cstheme="minorHAnsi"/>
                <w:color w:val="000000"/>
                <w:sz w:val="20"/>
                <w:szCs w:val="20"/>
              </w:rPr>
              <w:t>The profile of the county in terms of attracting people to move here to work</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w:t>
            </w:r>
          </w:p>
        </w:tc>
        <w:tc>
          <w:tcPr>
            <w:tcW w:w="790"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7</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21</w:t>
            </w:r>
          </w:p>
        </w:tc>
        <w:tc>
          <w:tcPr>
            <w:tcW w:w="851" w:type="dxa"/>
            <w:noWrap/>
            <w:vAlign w:val="center"/>
          </w:tcPr>
          <w:p w:rsidR="00B71C1B" w:rsidRPr="00C676F2"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676F2">
              <w:rPr>
                <w:rFonts w:cstheme="minorHAnsi"/>
                <w:b/>
                <w:color w:val="000000"/>
              </w:rPr>
              <w:t>15</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23</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22</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19</w:t>
            </w:r>
          </w:p>
        </w:tc>
        <w:tc>
          <w:tcPr>
            <w:tcW w:w="790"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22</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20</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57</w:t>
            </w:r>
          </w:p>
        </w:tc>
        <w:tc>
          <w:tcPr>
            <w:tcW w:w="822"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30</w:t>
            </w:r>
          </w:p>
        </w:tc>
        <w:tc>
          <w:tcPr>
            <w:tcW w:w="851" w:type="dxa"/>
            <w:noWrap/>
            <w:vAlign w:val="center"/>
          </w:tcPr>
          <w:p w:rsidR="00B71C1B" w:rsidRPr="00C676F2"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676F2">
              <w:rPr>
                <w:rFonts w:cstheme="minorHAnsi"/>
                <w:b/>
                <w:color w:val="000000"/>
              </w:rPr>
              <w:t>31</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53</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53</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52</w:t>
            </w:r>
          </w:p>
        </w:tc>
        <w:tc>
          <w:tcPr>
            <w:tcW w:w="790"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44</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56</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32</w:t>
            </w:r>
          </w:p>
        </w:tc>
        <w:tc>
          <w:tcPr>
            <w:tcW w:w="822"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40</w:t>
            </w:r>
          </w:p>
        </w:tc>
        <w:tc>
          <w:tcPr>
            <w:tcW w:w="851"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49</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21</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23</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23</w:t>
            </w:r>
          </w:p>
        </w:tc>
        <w:tc>
          <w:tcPr>
            <w:tcW w:w="790"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20</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21</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16</w:t>
            </w:r>
          </w:p>
        </w:tc>
        <w:tc>
          <w:tcPr>
            <w:tcW w:w="822"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21</w:t>
            </w:r>
          </w:p>
        </w:tc>
        <w:tc>
          <w:tcPr>
            <w:tcW w:w="851"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19</w:t>
            </w:r>
          </w:p>
        </w:tc>
      </w:tr>
      <w:tr w:rsidR="00665737" w:rsidRPr="00F34AA3"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665737" w:rsidRPr="00F34AA3" w:rsidRDefault="00665737" w:rsidP="00665737">
            <w:pPr>
              <w:spacing w:before="40" w:after="40"/>
              <w:rPr>
                <w:rFonts w:cstheme="minorHAnsi"/>
                <w:color w:val="000000"/>
                <w:sz w:val="20"/>
                <w:szCs w:val="20"/>
              </w:rPr>
            </w:pPr>
            <w:r w:rsidRPr="00F34AA3">
              <w:rPr>
                <w:rFonts w:cstheme="minorHAnsi"/>
                <w:color w:val="000000"/>
                <w:sz w:val="20"/>
                <w:szCs w:val="20"/>
              </w:rPr>
              <w:t>Transport infrastructure</w:t>
            </w:r>
          </w:p>
        </w:tc>
        <w:tc>
          <w:tcPr>
            <w:tcW w:w="1434" w:type="dxa"/>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677" w:type="dxa"/>
            <w:tcBorders>
              <w:right w:val="single" w:sz="8" w:space="0" w:color="73A5D8" w:themeColor="accent6"/>
            </w:tcBorders>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28" w:type="dxa"/>
            <w:tcBorders>
              <w:left w:val="single" w:sz="8" w:space="0" w:color="73A5D8" w:themeColor="accent6"/>
            </w:tcBorders>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790" w:type="dxa"/>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08" w:type="dxa"/>
            <w:tcBorders>
              <w:right w:val="single" w:sz="8" w:space="0" w:color="73A5D8" w:themeColor="accent6"/>
            </w:tcBorders>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677" w:type="dxa"/>
            <w:tcBorders>
              <w:left w:val="single" w:sz="8" w:space="0" w:color="73A5D8" w:themeColor="accent6"/>
            </w:tcBorders>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22" w:type="dxa"/>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c>
          <w:tcPr>
            <w:tcW w:w="851" w:type="dxa"/>
            <w:noWrap/>
            <w:vAlign w:val="center"/>
          </w:tcPr>
          <w:p w:rsidR="00665737" w:rsidRPr="00F34AA3"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negative (1-2)</w:t>
            </w:r>
          </w:p>
        </w:tc>
        <w:tc>
          <w:tcPr>
            <w:tcW w:w="1434"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17</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19</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18</w:t>
            </w:r>
          </w:p>
        </w:tc>
        <w:tc>
          <w:tcPr>
            <w:tcW w:w="790"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18</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15</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15</w:t>
            </w:r>
          </w:p>
        </w:tc>
        <w:tc>
          <w:tcPr>
            <w:tcW w:w="851"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17</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negative (1-4)</w:t>
            </w:r>
          </w:p>
        </w:tc>
        <w:tc>
          <w:tcPr>
            <w:tcW w:w="1434"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37</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42</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35</w:t>
            </w:r>
          </w:p>
        </w:tc>
        <w:tc>
          <w:tcPr>
            <w:tcW w:w="790"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37</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36</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26</w:t>
            </w:r>
          </w:p>
        </w:tc>
        <w:tc>
          <w:tcPr>
            <w:tcW w:w="822"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45</w:t>
            </w:r>
          </w:p>
        </w:tc>
        <w:tc>
          <w:tcPr>
            <w:tcW w:w="851"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r>
      <w:tr w:rsidR="00B71C1B" w:rsidRPr="00B43D4B" w:rsidTr="00665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Quite positive (6-10)</w:t>
            </w:r>
          </w:p>
        </w:tc>
        <w:tc>
          <w:tcPr>
            <w:tcW w:w="1434"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45</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39</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47</w:t>
            </w:r>
          </w:p>
        </w:tc>
        <w:tc>
          <w:tcPr>
            <w:tcW w:w="790"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55</w:t>
            </w:r>
          </w:p>
        </w:tc>
        <w:tc>
          <w:tcPr>
            <w:tcW w:w="822"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27</w:t>
            </w:r>
          </w:p>
        </w:tc>
        <w:tc>
          <w:tcPr>
            <w:tcW w:w="851" w:type="dxa"/>
            <w:noWrap/>
            <w:vAlign w:val="center"/>
          </w:tcPr>
          <w:p w:rsidR="00B71C1B" w:rsidRPr="00665737" w:rsidRDefault="00B71C1B"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40</w:t>
            </w:r>
          </w:p>
        </w:tc>
      </w:tr>
      <w:tr w:rsidR="00B71C1B" w:rsidRPr="00B43D4B" w:rsidTr="00665737">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tcPr>
          <w:p w:rsidR="00B71C1B" w:rsidRPr="00665737" w:rsidRDefault="00B71C1B" w:rsidP="00C676F2">
            <w:pPr>
              <w:spacing w:before="40" w:after="40"/>
              <w:rPr>
                <w:rFonts w:cstheme="minorHAnsi"/>
                <w:b w:val="0"/>
                <w:color w:val="000000"/>
                <w:sz w:val="20"/>
                <w:szCs w:val="20"/>
              </w:rPr>
            </w:pPr>
            <w:r w:rsidRPr="00665737">
              <w:rPr>
                <w:rFonts w:cstheme="minorHAnsi"/>
                <w:b w:val="0"/>
                <w:color w:val="000000"/>
                <w:sz w:val="20"/>
                <w:szCs w:val="20"/>
              </w:rPr>
              <w:t>Very positive (8-10)</w:t>
            </w:r>
          </w:p>
        </w:tc>
        <w:tc>
          <w:tcPr>
            <w:tcW w:w="1434"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20</w:t>
            </w:r>
          </w:p>
        </w:tc>
        <w:tc>
          <w:tcPr>
            <w:tcW w:w="677"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16</w:t>
            </w:r>
          </w:p>
        </w:tc>
        <w:tc>
          <w:tcPr>
            <w:tcW w:w="828"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21</w:t>
            </w:r>
          </w:p>
        </w:tc>
        <w:tc>
          <w:tcPr>
            <w:tcW w:w="790"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28</w:t>
            </w:r>
          </w:p>
        </w:tc>
        <w:tc>
          <w:tcPr>
            <w:tcW w:w="808" w:type="dxa"/>
            <w:tcBorders>
              <w:righ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19</w:t>
            </w:r>
          </w:p>
        </w:tc>
        <w:tc>
          <w:tcPr>
            <w:tcW w:w="677" w:type="dxa"/>
            <w:tcBorders>
              <w:left w:val="single" w:sz="8" w:space="0" w:color="73A5D8" w:themeColor="accent6"/>
            </w:tcBorders>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18</w:t>
            </w:r>
          </w:p>
        </w:tc>
        <w:tc>
          <w:tcPr>
            <w:tcW w:w="822"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19</w:t>
            </w:r>
          </w:p>
        </w:tc>
        <w:tc>
          <w:tcPr>
            <w:tcW w:w="851" w:type="dxa"/>
            <w:noWrap/>
            <w:vAlign w:val="center"/>
          </w:tcPr>
          <w:p w:rsidR="00B71C1B" w:rsidRPr="00665737" w:rsidRDefault="00B71C1B"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16</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65737" w:rsidRDefault="00665737" w:rsidP="00665737">
      <w:pPr>
        <w:pStyle w:val="BodyText"/>
      </w:pPr>
    </w:p>
    <w:p w:rsidR="00270C14" w:rsidRDefault="00270C14">
      <w:pPr>
        <w:spacing w:after="360"/>
        <w:rPr>
          <w:rFonts w:asciiTheme="majorHAnsi" w:eastAsiaTheme="majorEastAsia" w:hAnsiTheme="majorHAnsi" w:cstheme="majorBidi"/>
          <w:b/>
          <w:bCs/>
          <w:color w:val="0075A4"/>
          <w:sz w:val="26"/>
          <w:szCs w:val="26"/>
        </w:rPr>
      </w:pPr>
      <w:r>
        <w:br w:type="page"/>
      </w:r>
    </w:p>
    <w:p w:rsidR="00665737" w:rsidRDefault="00665737" w:rsidP="00665737">
      <w:pPr>
        <w:pStyle w:val="Heading2"/>
      </w:pPr>
      <w:bookmarkStart w:id="81" w:name="_Toc394057572"/>
      <w:r>
        <w:t>Growth factors</w:t>
      </w:r>
      <w:bookmarkEnd w:id="81"/>
    </w:p>
    <w:p w:rsidR="00B71C1B" w:rsidRDefault="00B71C1B" w:rsidP="00B71C1B">
      <w:pPr>
        <w:pStyle w:val="Caption"/>
      </w:pPr>
      <w:r>
        <w:t>Table 10.4:  Factors that are beneficial to the stability or growth of the business (all employers)</w:t>
      </w:r>
    </w:p>
    <w:tbl>
      <w:tblPr>
        <w:tblStyle w:val="LightList-Accent6"/>
        <w:tblW w:w="10289" w:type="dxa"/>
        <w:tblInd w:w="-459" w:type="dxa"/>
        <w:tblLook w:val="04A0" w:firstRow="1" w:lastRow="0" w:firstColumn="1" w:lastColumn="0" w:noHBand="0" w:noVBand="1"/>
      </w:tblPr>
      <w:tblGrid>
        <w:gridCol w:w="3402"/>
        <w:gridCol w:w="1434"/>
        <w:gridCol w:w="677"/>
        <w:gridCol w:w="828"/>
        <w:gridCol w:w="790"/>
        <w:gridCol w:w="808"/>
        <w:gridCol w:w="677"/>
        <w:gridCol w:w="822"/>
        <w:gridCol w:w="851"/>
      </w:tblGrid>
      <w:tr w:rsidR="00F42270" w:rsidRPr="0064087B" w:rsidTr="00270C1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F42270" w:rsidRPr="00665737" w:rsidRDefault="00F42270" w:rsidP="006A3374">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65737" w:rsidRPr="0064087B" w:rsidTr="00270C14">
        <w:trPr>
          <w:cnfStyle w:val="100000000000" w:firstRow="1" w:lastRow="0" w:firstColumn="0" w:lastColumn="0" w:oddVBand="0" w:evenVBand="0" w:oddHBand="0" w:evenHBand="0" w:firstRowFirstColumn="0" w:firstRowLastColumn="0" w:lastRowFirstColumn="0" w:lastRowLastColumn="0"/>
          <w:cantSplit/>
          <w:trHeight w:val="2674"/>
          <w:tblHeader/>
        </w:trPr>
        <w:tc>
          <w:tcPr>
            <w:cnfStyle w:val="001000000000" w:firstRow="0" w:lastRow="0" w:firstColumn="1" w:lastColumn="0" w:oddVBand="0" w:evenVBand="0" w:oddHBand="0" w:evenHBand="0" w:firstRowFirstColumn="0" w:firstRowLastColumn="0" w:lastRowFirstColumn="0" w:lastRowLastColumn="0"/>
            <w:tcW w:w="3402" w:type="dxa"/>
            <w:noWrap/>
            <w:textDirection w:val="tbRl"/>
            <w:vAlign w:val="center"/>
            <w:hideMark/>
          </w:tcPr>
          <w:p w:rsidR="00665737" w:rsidRPr="00665737" w:rsidRDefault="00665737" w:rsidP="006A3374">
            <w:pPr>
              <w:spacing w:after="0"/>
              <w:ind w:left="113" w:right="113"/>
              <w:rPr>
                <w:rFonts w:eastAsia="Times New Roman" w:cstheme="minorHAnsi"/>
                <w:b w:val="0"/>
                <w:sz w:val="20"/>
                <w:szCs w:val="20"/>
                <w:lang w:eastAsia="en-GB"/>
              </w:rPr>
            </w:pPr>
          </w:p>
        </w:tc>
        <w:tc>
          <w:tcPr>
            <w:tcW w:w="1434" w:type="dxa"/>
            <w:vMerge/>
            <w:noWrap/>
            <w:textDirection w:val="tbRl"/>
            <w:vAlign w:val="center"/>
            <w:hideMark/>
          </w:tcPr>
          <w:p w:rsidR="00665737" w:rsidRPr="0064087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p>
        </w:tc>
        <w:tc>
          <w:tcPr>
            <w:tcW w:w="677" w:type="dxa"/>
            <w:vMerge/>
            <w:noWrap/>
            <w:textDirection w:val="tbRl"/>
            <w:vAlign w:val="center"/>
            <w:hideMark/>
          </w:tcPr>
          <w:p w:rsidR="00665737" w:rsidRPr="0064087B"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p>
        </w:tc>
        <w:tc>
          <w:tcPr>
            <w:tcW w:w="828" w:type="dxa"/>
            <w:noWrap/>
            <w:textDirection w:val="tbRl"/>
            <w:vAlign w:val="center"/>
            <w:hideMark/>
          </w:tcPr>
          <w:p w:rsidR="00665737" w:rsidRPr="00E03994"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03994">
              <w:rPr>
                <w:rFonts w:eastAsia="Times New Roman" w:cstheme="minorHAnsi"/>
                <w:lang w:eastAsia="en-GB"/>
              </w:rPr>
              <w:t>Agri-food</w:t>
            </w:r>
          </w:p>
        </w:tc>
        <w:tc>
          <w:tcPr>
            <w:tcW w:w="790" w:type="dxa"/>
            <w:noWrap/>
            <w:textDirection w:val="tbRl"/>
            <w:vAlign w:val="center"/>
            <w:hideMark/>
          </w:tcPr>
          <w:p w:rsidR="00665737" w:rsidRPr="00E03994"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03994">
              <w:rPr>
                <w:rFonts w:eastAsia="Times New Roman" w:cstheme="minorHAnsi"/>
                <w:lang w:eastAsia="en-GB"/>
              </w:rPr>
              <w:t>Manufacturing/ Engineering</w:t>
            </w:r>
          </w:p>
        </w:tc>
        <w:tc>
          <w:tcPr>
            <w:tcW w:w="808" w:type="dxa"/>
            <w:noWrap/>
            <w:textDirection w:val="tbRl"/>
            <w:vAlign w:val="center"/>
            <w:hideMark/>
          </w:tcPr>
          <w:p w:rsidR="00665737" w:rsidRPr="00E03994"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03994">
              <w:rPr>
                <w:rFonts w:eastAsia="Times New Roman" w:cstheme="minorHAnsi"/>
                <w:lang w:eastAsia="en-GB"/>
              </w:rPr>
              <w:t>Visitor Economy</w:t>
            </w:r>
          </w:p>
        </w:tc>
        <w:tc>
          <w:tcPr>
            <w:tcW w:w="677" w:type="dxa"/>
            <w:noWrap/>
            <w:textDirection w:val="tbRl"/>
            <w:vAlign w:val="center"/>
            <w:hideMark/>
          </w:tcPr>
          <w:p w:rsidR="00665737" w:rsidRPr="00E03994"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03994">
              <w:rPr>
                <w:rFonts w:eastAsia="Times New Roman" w:cstheme="minorHAnsi"/>
                <w:lang w:eastAsia="en-GB"/>
              </w:rPr>
              <w:t xml:space="preserve">  Renewables*</w:t>
            </w:r>
          </w:p>
        </w:tc>
        <w:tc>
          <w:tcPr>
            <w:tcW w:w="822" w:type="dxa"/>
            <w:noWrap/>
            <w:textDirection w:val="tbRl"/>
            <w:vAlign w:val="center"/>
            <w:hideMark/>
          </w:tcPr>
          <w:p w:rsidR="00665737" w:rsidRPr="00E03994"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03994">
              <w:rPr>
                <w:rFonts w:eastAsia="Times New Roman" w:cstheme="minorHAnsi"/>
                <w:lang w:eastAsia="en-GB"/>
              </w:rPr>
              <w:t>Ports &amp; Logistics*</w:t>
            </w:r>
          </w:p>
        </w:tc>
        <w:tc>
          <w:tcPr>
            <w:tcW w:w="851" w:type="dxa"/>
            <w:noWrap/>
            <w:textDirection w:val="tbRl"/>
            <w:vAlign w:val="center"/>
            <w:hideMark/>
          </w:tcPr>
          <w:p w:rsidR="00665737" w:rsidRPr="00E03994" w:rsidRDefault="00665737" w:rsidP="006A3374">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03994">
              <w:rPr>
                <w:rFonts w:eastAsia="Times New Roman" w:cstheme="minorHAnsi"/>
                <w:lang w:eastAsia="en-GB"/>
              </w:rPr>
              <w:t>Health &amp; Care</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665737" w:rsidRPr="00665737" w:rsidRDefault="00665737" w:rsidP="006A3374">
            <w:pPr>
              <w:spacing w:after="0"/>
              <w:rPr>
                <w:rFonts w:eastAsia="Times New Roman" w:cstheme="minorHAnsi"/>
                <w:b w:val="0"/>
                <w:i/>
                <w:color w:val="000000"/>
                <w:sz w:val="20"/>
                <w:szCs w:val="20"/>
                <w:lang w:eastAsia="en-GB"/>
              </w:rPr>
            </w:pPr>
          </w:p>
        </w:tc>
        <w:tc>
          <w:tcPr>
            <w:tcW w:w="1434" w:type="dxa"/>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left w:val="single" w:sz="8" w:space="0" w:color="73A5D8" w:themeColor="accent6"/>
            </w:tcBorders>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left w:val="single" w:sz="8" w:space="0" w:color="73A5D8" w:themeColor="accent6"/>
            </w:tcBorders>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665737" w:rsidRPr="0064087B" w:rsidRDefault="00665737" w:rsidP="006A337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F34AA3" w:rsidRPr="00F34AA3" w:rsidTr="00270C14">
        <w:trPr>
          <w:trHeight w:val="300"/>
        </w:trPr>
        <w:tc>
          <w:tcPr>
            <w:cnfStyle w:val="001000000000" w:firstRow="0" w:lastRow="0" w:firstColumn="1" w:lastColumn="0" w:oddVBand="0" w:evenVBand="0" w:oddHBand="0" w:evenHBand="0" w:firstRowFirstColumn="0" w:firstRowLastColumn="0" w:lastRowFirstColumn="0" w:lastRowLastColumn="0"/>
            <w:tcW w:w="10289" w:type="dxa"/>
            <w:gridSpan w:val="9"/>
            <w:noWrap/>
            <w:vAlign w:val="center"/>
            <w:hideMark/>
          </w:tcPr>
          <w:p w:rsidR="00F34AA3" w:rsidRPr="00F34AA3" w:rsidRDefault="00F34AA3" w:rsidP="00665737">
            <w:pPr>
              <w:spacing w:before="40" w:after="40"/>
              <w:rPr>
                <w:rFonts w:eastAsia="Times New Roman" w:cstheme="minorHAnsi"/>
                <w:color w:val="000000"/>
                <w:lang w:eastAsia="en-GB"/>
              </w:rPr>
            </w:pPr>
            <w:r w:rsidRPr="00F34AA3">
              <w:rPr>
                <w:rFonts w:cstheme="minorHAnsi"/>
                <w:color w:val="000000"/>
                <w:sz w:val="20"/>
                <w:szCs w:val="20"/>
              </w:rPr>
              <w:t>Factors sometimes valuable in improving business stability or which help businesses to grow that are significantly beneficial for the business</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Suitable low cost premises</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58</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58</w:t>
            </w:r>
          </w:p>
        </w:tc>
        <w:tc>
          <w:tcPr>
            <w:tcW w:w="828" w:type="dxa"/>
            <w:tcBorders>
              <w:left w:val="single" w:sz="8" w:space="0" w:color="73A5D8" w:themeColor="accent6"/>
            </w:tcBorders>
            <w:noWrap/>
            <w:vAlign w:val="center"/>
            <w:hideMark/>
          </w:tcPr>
          <w:p w:rsidR="00665737" w:rsidRPr="00C676F2"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50</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65</w:t>
            </w:r>
          </w:p>
        </w:tc>
        <w:tc>
          <w:tcPr>
            <w:tcW w:w="808" w:type="dxa"/>
            <w:tcBorders>
              <w:right w:val="single" w:sz="8" w:space="0" w:color="73A5D8" w:themeColor="accent6"/>
            </w:tcBorders>
            <w:noWrap/>
            <w:vAlign w:val="center"/>
            <w:hideMark/>
          </w:tcPr>
          <w:p w:rsidR="00665737" w:rsidRPr="00C676F2"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C676F2">
              <w:rPr>
                <w:rFonts w:cstheme="minorHAnsi"/>
                <w:i/>
                <w:color w:val="000000"/>
              </w:rPr>
              <w:t>47</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E03994"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E03994">
              <w:rPr>
                <w:rFonts w:cstheme="minorHAnsi"/>
                <w:i/>
                <w:color w:val="000000"/>
              </w:rPr>
              <w:t>40</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61</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Availability of highly skilled labour</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54</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55</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45</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57</w:t>
            </w:r>
          </w:p>
        </w:tc>
        <w:tc>
          <w:tcPr>
            <w:tcW w:w="808" w:type="dxa"/>
            <w:tcBorders>
              <w:right w:val="single" w:sz="8" w:space="0" w:color="73A5D8" w:themeColor="accent6"/>
            </w:tcBorders>
            <w:noWrap/>
            <w:vAlign w:val="center"/>
            <w:hideMark/>
          </w:tcPr>
          <w:p w:rsidR="00665737" w:rsidRPr="00C676F2"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76F2">
              <w:rPr>
                <w:rFonts w:cstheme="minorHAnsi"/>
                <w:i/>
                <w:color w:val="000000"/>
              </w:rPr>
              <w:t>46</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64</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55</w:t>
            </w:r>
          </w:p>
        </w:tc>
        <w:tc>
          <w:tcPr>
            <w:tcW w:w="851"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64</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Availability of other skills your business needs</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52</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51</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45</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55</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48</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48</w:t>
            </w:r>
          </w:p>
        </w:tc>
        <w:tc>
          <w:tcPr>
            <w:tcW w:w="851" w:type="dxa"/>
            <w:noWrap/>
            <w:vAlign w:val="center"/>
            <w:hideMark/>
          </w:tcPr>
          <w:p w:rsidR="00665737" w:rsidRPr="00E03994"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E03994">
              <w:rPr>
                <w:rFonts w:cstheme="minorHAnsi"/>
                <w:b/>
                <w:color w:val="000000"/>
              </w:rPr>
              <w:t>61</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Availability of local training</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54</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54</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47</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61</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49</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64</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c>
          <w:tcPr>
            <w:tcW w:w="851"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75</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Access to business mentoring, coaching and networking</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41</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41</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36</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37</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37</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E03994"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E03994">
              <w:rPr>
                <w:rFonts w:cstheme="minorHAnsi"/>
                <w:i/>
                <w:color w:val="000000"/>
              </w:rPr>
              <w:t>21</w:t>
            </w:r>
          </w:p>
        </w:tc>
        <w:tc>
          <w:tcPr>
            <w:tcW w:w="851" w:type="dxa"/>
            <w:noWrap/>
            <w:vAlign w:val="center"/>
            <w:hideMark/>
          </w:tcPr>
          <w:p w:rsidR="00665737" w:rsidRPr="00E03994"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E03994">
              <w:rPr>
                <w:rFonts w:cstheme="minorHAnsi"/>
                <w:b/>
                <w:color w:val="000000"/>
              </w:rPr>
              <w:t>63</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Assistance with E-commerce and internet-based technologies</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44</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44</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38</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43</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52</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48</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Support with tax, national insurance law and payments</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43</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43</w:t>
            </w:r>
          </w:p>
        </w:tc>
        <w:tc>
          <w:tcPr>
            <w:tcW w:w="828" w:type="dxa"/>
            <w:tcBorders>
              <w:left w:val="single" w:sz="8" w:space="0" w:color="73A5D8" w:themeColor="accent6"/>
            </w:tcBorders>
            <w:noWrap/>
            <w:vAlign w:val="center"/>
            <w:hideMark/>
          </w:tcPr>
          <w:p w:rsidR="00665737" w:rsidRPr="00E03994"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03994">
              <w:rPr>
                <w:rFonts w:cstheme="minorHAnsi"/>
                <w:color w:val="000000"/>
              </w:rPr>
              <w:t>37</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43</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47</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64</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43</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Support with Planning Regulations and related matters</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46</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38</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43</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64</w:t>
            </w:r>
          </w:p>
        </w:tc>
        <w:tc>
          <w:tcPr>
            <w:tcW w:w="822"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61</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42</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Support with recruiting staff with the right skills</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45</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46</w:t>
            </w:r>
          </w:p>
        </w:tc>
        <w:tc>
          <w:tcPr>
            <w:tcW w:w="828" w:type="dxa"/>
            <w:tcBorders>
              <w:left w:val="single" w:sz="8" w:space="0" w:color="73A5D8" w:themeColor="accent6"/>
            </w:tcBorders>
            <w:noWrap/>
            <w:vAlign w:val="center"/>
            <w:hideMark/>
          </w:tcPr>
          <w:p w:rsidR="00665737" w:rsidRPr="00E03994"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E03994">
              <w:rPr>
                <w:rFonts w:cstheme="minorHAnsi"/>
                <w:i/>
                <w:color w:val="000000"/>
              </w:rPr>
              <w:t>37</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44</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39</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35</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49</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Support with (new product or service development)</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37</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38</w:t>
            </w:r>
          </w:p>
        </w:tc>
        <w:tc>
          <w:tcPr>
            <w:tcW w:w="828" w:type="dxa"/>
            <w:tcBorders>
              <w:left w:val="single" w:sz="8" w:space="0" w:color="73A5D8" w:themeColor="accent6"/>
            </w:tcBorders>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E03994">
              <w:rPr>
                <w:rFonts w:cstheme="minorHAnsi"/>
                <w:i/>
                <w:color w:val="000000"/>
              </w:rPr>
              <w:t>29</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43</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33</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22</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45</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Support to develop new UK markets</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35</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36</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36</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43</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29</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68</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41</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29</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Support to develop new export markets</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16</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17</w:t>
            </w:r>
          </w:p>
        </w:tc>
        <w:tc>
          <w:tcPr>
            <w:tcW w:w="828" w:type="dxa"/>
            <w:tcBorders>
              <w:left w:val="single" w:sz="8" w:space="0" w:color="73A5D8" w:themeColor="accent6"/>
            </w:tcBorders>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22</w:t>
            </w:r>
          </w:p>
        </w:tc>
        <w:tc>
          <w:tcPr>
            <w:tcW w:w="790"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27</w:t>
            </w:r>
          </w:p>
        </w:tc>
        <w:tc>
          <w:tcPr>
            <w:tcW w:w="808" w:type="dxa"/>
            <w:tcBorders>
              <w:right w:val="single" w:sz="8" w:space="0" w:color="73A5D8" w:themeColor="accent6"/>
            </w:tcBorders>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E03994">
              <w:rPr>
                <w:rFonts w:cstheme="minorHAnsi"/>
                <w:i/>
                <w:color w:val="000000"/>
              </w:rPr>
              <w:t>8</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68</w:t>
            </w:r>
          </w:p>
        </w:tc>
        <w:tc>
          <w:tcPr>
            <w:tcW w:w="822"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E03994">
              <w:rPr>
                <w:rFonts w:cstheme="minorHAnsi"/>
                <w:i/>
                <w:color w:val="000000"/>
              </w:rPr>
              <w:t>40</w:t>
            </w:r>
          </w:p>
        </w:tc>
        <w:tc>
          <w:tcPr>
            <w:tcW w:w="851"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E03994">
              <w:rPr>
                <w:rFonts w:cstheme="minorHAnsi"/>
                <w:i/>
                <w:color w:val="000000"/>
              </w:rPr>
              <w:t>9</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Access to funding</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56</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55</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51</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59</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57</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50</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69</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Access to Business Growth programmes</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45</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45</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43</w:t>
            </w:r>
          </w:p>
        </w:tc>
        <w:tc>
          <w:tcPr>
            <w:tcW w:w="790"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56</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41</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80</w:t>
            </w:r>
          </w:p>
        </w:tc>
        <w:tc>
          <w:tcPr>
            <w:tcW w:w="822" w:type="dxa"/>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E03994">
              <w:rPr>
                <w:rFonts w:cstheme="minorHAnsi"/>
                <w:i/>
                <w:color w:val="000000"/>
              </w:rPr>
              <w:t>25</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49</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Other</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7</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6</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2</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16</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3</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5</w:t>
            </w:r>
          </w:p>
        </w:tc>
      </w:tr>
      <w:tr w:rsidR="00665737" w:rsidRPr="0064087B" w:rsidTr="00270C14">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None of these</w:t>
            </w:r>
          </w:p>
        </w:tc>
        <w:tc>
          <w:tcPr>
            <w:tcW w:w="1434"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10</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9</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12</w:t>
            </w:r>
          </w:p>
        </w:tc>
        <w:tc>
          <w:tcPr>
            <w:tcW w:w="790"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9</w:t>
            </w:r>
          </w:p>
        </w:tc>
        <w:tc>
          <w:tcPr>
            <w:tcW w:w="808" w:type="dxa"/>
            <w:tcBorders>
              <w:right w:val="single" w:sz="8" w:space="0" w:color="73A5D8" w:themeColor="accent6"/>
            </w:tcBorders>
            <w:noWrap/>
            <w:vAlign w:val="center"/>
            <w:hideMark/>
          </w:tcPr>
          <w:p w:rsidR="00665737" w:rsidRPr="00E03994"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E03994">
              <w:rPr>
                <w:rFonts w:cstheme="minorHAnsi"/>
                <w:b/>
                <w:color w:val="000000"/>
              </w:rPr>
              <w:t>16</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20</w:t>
            </w:r>
          </w:p>
        </w:tc>
        <w:tc>
          <w:tcPr>
            <w:tcW w:w="822"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9</w:t>
            </w:r>
          </w:p>
        </w:tc>
        <w:tc>
          <w:tcPr>
            <w:tcW w:w="851" w:type="dxa"/>
            <w:noWrap/>
            <w:vAlign w:val="center"/>
            <w:hideMark/>
          </w:tcPr>
          <w:p w:rsidR="00665737" w:rsidRPr="00665737" w:rsidRDefault="00665737" w:rsidP="0066573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65737">
              <w:rPr>
                <w:rFonts w:cstheme="minorHAnsi"/>
                <w:color w:val="000000"/>
              </w:rPr>
              <w:t>8</w:t>
            </w:r>
          </w:p>
        </w:tc>
      </w:tr>
      <w:tr w:rsidR="00665737" w:rsidRPr="0064087B" w:rsidTr="0027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rsidR="00665737" w:rsidRPr="00665737" w:rsidRDefault="00665737" w:rsidP="00665737">
            <w:pPr>
              <w:spacing w:before="40" w:after="40"/>
              <w:rPr>
                <w:rFonts w:cstheme="minorHAnsi"/>
                <w:b w:val="0"/>
                <w:color w:val="000000"/>
                <w:sz w:val="20"/>
                <w:szCs w:val="20"/>
              </w:rPr>
            </w:pPr>
            <w:r w:rsidRPr="00665737">
              <w:rPr>
                <w:rFonts w:cstheme="minorHAnsi"/>
                <w:b w:val="0"/>
                <w:color w:val="000000"/>
                <w:sz w:val="20"/>
                <w:szCs w:val="20"/>
              </w:rPr>
              <w:t>Don't know</w:t>
            </w:r>
          </w:p>
        </w:tc>
        <w:tc>
          <w:tcPr>
            <w:tcW w:w="1434"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w:t>
            </w:r>
          </w:p>
        </w:tc>
        <w:tc>
          <w:tcPr>
            <w:tcW w:w="677"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w:t>
            </w:r>
          </w:p>
        </w:tc>
        <w:tc>
          <w:tcPr>
            <w:tcW w:w="828"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1</w:t>
            </w:r>
          </w:p>
        </w:tc>
        <w:tc>
          <w:tcPr>
            <w:tcW w:w="790"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08" w:type="dxa"/>
            <w:tcBorders>
              <w:righ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677" w:type="dxa"/>
            <w:tcBorders>
              <w:left w:val="single" w:sz="8" w:space="0" w:color="73A5D8" w:themeColor="accent6"/>
            </w:tcBorders>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22"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c>
          <w:tcPr>
            <w:tcW w:w="851" w:type="dxa"/>
            <w:noWrap/>
            <w:vAlign w:val="center"/>
            <w:hideMark/>
          </w:tcPr>
          <w:p w:rsidR="00665737" w:rsidRPr="00665737" w:rsidRDefault="00665737" w:rsidP="00665737">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65737">
              <w:rPr>
                <w:rFonts w:cstheme="minorHAnsi"/>
                <w:color w:val="000000"/>
              </w:rPr>
              <w:t>0</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B71C1B" w:rsidRDefault="00B71C1B" w:rsidP="00B71C1B">
      <w:pPr>
        <w:pStyle w:val="Caption"/>
      </w:pPr>
      <w:r>
        <w:t>Table 10.5:  Factors that are obstacles to the growth of the business (all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6A33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1781D" w:rsidRDefault="00F42270" w:rsidP="006A3374">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cantSplit/>
          <w:trHeight w:val="2431"/>
        </w:trPr>
        <w:tc>
          <w:tcPr>
            <w:cnfStyle w:val="001000000000" w:firstRow="0" w:lastRow="0" w:firstColumn="1" w:lastColumn="0" w:oddVBand="0" w:evenVBand="0" w:oddHBand="0" w:evenHBand="0" w:firstRowFirstColumn="0" w:firstRowLastColumn="0" w:lastRowFirstColumn="0" w:lastRowLastColumn="0"/>
            <w:tcW w:w="2943" w:type="dxa"/>
            <w:shd w:val="clear" w:color="auto" w:fill="73A5D8" w:themeFill="accent6"/>
            <w:noWrap/>
            <w:textDirection w:val="tbRl"/>
            <w:vAlign w:val="center"/>
            <w:hideMark/>
          </w:tcPr>
          <w:p w:rsidR="006A3374" w:rsidRPr="0061781D" w:rsidRDefault="006A3374" w:rsidP="006A3374">
            <w:pPr>
              <w:spacing w:after="0"/>
              <w:ind w:left="113" w:right="113"/>
              <w:rPr>
                <w:rFonts w:eastAsia="Times New Roman" w:cstheme="minorHAnsi"/>
                <w:b w:val="0"/>
                <w:color w:val="FFFFFF" w:themeColor="background1"/>
                <w:sz w:val="20"/>
                <w:szCs w:val="20"/>
                <w:lang w:eastAsia="en-GB"/>
              </w:rPr>
            </w:pPr>
          </w:p>
        </w:tc>
        <w:tc>
          <w:tcPr>
            <w:tcW w:w="1434"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677"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82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Agri-food</w:t>
            </w:r>
          </w:p>
        </w:tc>
        <w:tc>
          <w:tcPr>
            <w:tcW w:w="790"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Manufacturing/</w:t>
            </w:r>
            <w:r>
              <w:rPr>
                <w:rFonts w:eastAsia="Times New Roman" w:cstheme="minorHAnsi"/>
                <w:b/>
                <w:color w:val="FFFFFF" w:themeColor="background1"/>
                <w:lang w:eastAsia="en-GB"/>
              </w:rPr>
              <w:t xml:space="preserve"> </w:t>
            </w:r>
            <w:r w:rsidRPr="0064087B">
              <w:rPr>
                <w:rFonts w:eastAsia="Times New Roman" w:cstheme="minorHAnsi"/>
                <w:b/>
                <w:color w:val="FFFFFF" w:themeColor="background1"/>
                <w:lang w:eastAsia="en-GB"/>
              </w:rPr>
              <w:t>Engineering</w:t>
            </w:r>
          </w:p>
        </w:tc>
        <w:tc>
          <w:tcPr>
            <w:tcW w:w="80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Visitor Economy</w:t>
            </w:r>
          </w:p>
        </w:tc>
        <w:tc>
          <w:tcPr>
            <w:tcW w:w="677"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 xml:space="preserve">  Renewables</w:t>
            </w:r>
            <w:r>
              <w:rPr>
                <w:rFonts w:eastAsia="Times New Roman" w:cstheme="minorHAnsi"/>
                <w:b/>
                <w:color w:val="FFFFFF" w:themeColor="background1"/>
                <w:lang w:eastAsia="en-GB"/>
              </w:rPr>
              <w:t>*</w:t>
            </w:r>
          </w:p>
        </w:tc>
        <w:tc>
          <w:tcPr>
            <w:tcW w:w="822"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Ports &amp; Logistics</w:t>
            </w:r>
            <w:r>
              <w:rPr>
                <w:rFonts w:eastAsia="Times New Roman" w:cstheme="minorHAnsi"/>
                <w:b/>
                <w:color w:val="FFFFFF" w:themeColor="background1"/>
                <w:lang w:eastAsia="en-GB"/>
              </w:rPr>
              <w:t>*</w:t>
            </w:r>
          </w:p>
        </w:tc>
        <w:tc>
          <w:tcPr>
            <w:tcW w:w="851"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Health &amp; Care</w:t>
            </w:r>
          </w:p>
        </w:tc>
      </w:tr>
      <w:tr w:rsidR="006A3374" w:rsidRPr="0061781D"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1781D" w:rsidRDefault="006A3374" w:rsidP="006A3374">
            <w:pPr>
              <w:spacing w:before="40" w:after="40"/>
              <w:jc w:val="center"/>
              <w:rPr>
                <w:rFonts w:eastAsia="Times New Roman" w:cstheme="minorHAnsi"/>
                <w:b w:val="0"/>
                <w:i/>
                <w:color w:val="000000"/>
                <w:sz w:val="18"/>
                <w:szCs w:val="18"/>
                <w:lang w:eastAsia="en-GB"/>
              </w:rPr>
            </w:pPr>
          </w:p>
        </w:tc>
        <w:tc>
          <w:tcPr>
            <w:tcW w:w="1434"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top w:val="single" w:sz="8" w:space="0" w:color="73A5D8" w:themeColor="accent6"/>
              <w:lef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top w:val="single" w:sz="8" w:space="0" w:color="73A5D8" w:themeColor="accent6"/>
              <w:lef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6A3374" w:rsidRPr="006A3374"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6A3374" w:rsidRPr="006A3374" w:rsidRDefault="006A3374" w:rsidP="006A3374">
            <w:pPr>
              <w:spacing w:before="40" w:after="40"/>
              <w:rPr>
                <w:rFonts w:eastAsia="Times New Roman" w:cstheme="minorHAnsi"/>
                <w:color w:val="000000"/>
                <w:lang w:eastAsia="en-GB"/>
              </w:rPr>
            </w:pPr>
            <w:r w:rsidRPr="006A3374">
              <w:rPr>
                <w:rFonts w:cstheme="minorHAnsi"/>
                <w:color w:val="000000"/>
                <w:sz w:val="20"/>
                <w:szCs w:val="20"/>
              </w:rPr>
              <w:t>Factors preventing the business from growing</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Availability of appropriately skilled staff</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19</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19</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10</w:t>
            </w:r>
          </w:p>
        </w:tc>
        <w:tc>
          <w:tcPr>
            <w:tcW w:w="790"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30</w:t>
            </w:r>
          </w:p>
        </w:tc>
        <w:tc>
          <w:tcPr>
            <w:tcW w:w="808" w:type="dxa"/>
            <w:tcBorders>
              <w:right w:val="single" w:sz="8" w:space="0" w:color="73A5D8" w:themeColor="accent6"/>
            </w:tcBorders>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11</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30</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24</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23</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Availability of appropriate local skills training</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13</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13</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10</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16</w:t>
            </w:r>
          </w:p>
        </w:tc>
        <w:tc>
          <w:tcPr>
            <w:tcW w:w="808" w:type="dxa"/>
            <w:tcBorders>
              <w:righ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8</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15</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15</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Poor transport infrastructure</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30</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35</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22</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29</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33</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22</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25</w:t>
            </w:r>
          </w:p>
        </w:tc>
        <w:tc>
          <w:tcPr>
            <w:tcW w:w="851"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40</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Poor IT infrastructure</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19</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21</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17</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31</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24</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The way the local planning and development control system operates</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19</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21</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15</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19</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26</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14</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14</w:t>
            </w:r>
          </w:p>
        </w:tc>
      </w:tr>
      <w:tr w:rsidR="006A3374" w:rsidRPr="00F34AA3"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Lack of available premises/land</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15</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12</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15</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10</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49</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13</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15</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Poor local supply chain</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10</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10</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11</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15</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19</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14</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Lack of business support services</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13</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6</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12</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58</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Poor cash flow</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24</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25</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15</w:t>
            </w:r>
          </w:p>
        </w:tc>
        <w:tc>
          <w:tcPr>
            <w:tcW w:w="790"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36</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25</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31</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21</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24</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Lack of capital for investment</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25</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26</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18</w:t>
            </w:r>
          </w:p>
        </w:tc>
        <w:tc>
          <w:tcPr>
            <w:tcW w:w="790" w:type="dxa"/>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34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28</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22</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23</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24</w:t>
            </w:r>
          </w:p>
        </w:tc>
      </w:tr>
      <w:tr w:rsidR="006A3374" w:rsidRPr="0061781D"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Poor county profile i.e. in terms of attracting staff from outside the county</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16</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17</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6</w:t>
            </w:r>
          </w:p>
        </w:tc>
        <w:tc>
          <w:tcPr>
            <w:tcW w:w="790"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24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12</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15</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7</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19</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Poor sector profile</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13</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8</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37</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14</w:t>
            </w:r>
          </w:p>
        </w:tc>
        <w:tc>
          <w:tcPr>
            <w:tcW w:w="851" w:type="dxa"/>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23</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Other</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10</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10</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7</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20</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0</w:t>
            </w:r>
          </w:p>
        </w:tc>
        <w:tc>
          <w:tcPr>
            <w:tcW w:w="851"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15</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cstheme="minorHAnsi"/>
                <w:b w:val="0"/>
                <w:color w:val="000000"/>
                <w:sz w:val="20"/>
                <w:szCs w:val="20"/>
              </w:rPr>
            </w:pPr>
            <w:r w:rsidRPr="006A3374">
              <w:rPr>
                <w:rFonts w:cstheme="minorHAnsi"/>
                <w:b w:val="0"/>
                <w:color w:val="000000"/>
                <w:sz w:val="20"/>
                <w:szCs w:val="20"/>
              </w:rPr>
              <w:t>None</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29</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25</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37</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27</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32</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0</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32</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25</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A3374" w:rsidRDefault="006A3374" w:rsidP="00665737">
      <w:pPr>
        <w:pStyle w:val="BodyText"/>
      </w:pPr>
    </w:p>
    <w:p w:rsidR="006A3374" w:rsidRPr="00665737" w:rsidRDefault="006A3374" w:rsidP="00665737">
      <w:pPr>
        <w:pStyle w:val="BodyText"/>
      </w:pPr>
    </w:p>
    <w:p w:rsidR="006A3374" w:rsidRDefault="006A3374">
      <w:pPr>
        <w:spacing w:after="360"/>
        <w:rPr>
          <w:rFonts w:asciiTheme="majorHAnsi" w:eastAsiaTheme="majorEastAsia" w:hAnsiTheme="majorHAnsi" w:cstheme="majorBidi"/>
          <w:b/>
          <w:bCs/>
          <w:color w:val="0075A4"/>
          <w:sz w:val="26"/>
          <w:szCs w:val="26"/>
        </w:rPr>
      </w:pPr>
      <w:r>
        <w:br w:type="page"/>
      </w:r>
    </w:p>
    <w:p w:rsidR="00665737" w:rsidRPr="00665737" w:rsidRDefault="0061781D" w:rsidP="0061781D">
      <w:pPr>
        <w:pStyle w:val="Heading2"/>
      </w:pPr>
      <w:r>
        <w:t xml:space="preserve"> </w:t>
      </w:r>
      <w:bookmarkStart w:id="82" w:name="_Toc394057573"/>
      <w:r>
        <w:t>Performance measures</w:t>
      </w:r>
      <w:bookmarkEnd w:id="82"/>
    </w:p>
    <w:p w:rsidR="00B71C1B" w:rsidRDefault="00B71C1B" w:rsidP="00B71C1B">
      <w:pPr>
        <w:pStyle w:val="Caption"/>
      </w:pPr>
      <w:r>
        <w:t>Table 10.6:  Proportion of employers that have experienced any growth in the last 12 months or anticipate any in the next 12 months (all private sector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6178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1781D" w:rsidRDefault="00F42270" w:rsidP="0061781D">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1781D" w:rsidRPr="0064087B" w:rsidTr="0061781D">
        <w:trPr>
          <w:cnfStyle w:val="000000100000" w:firstRow="0" w:lastRow="0" w:firstColumn="0" w:lastColumn="0" w:oddVBand="0" w:evenVBand="0" w:oddHBand="1" w:evenHBand="0" w:firstRowFirstColumn="0" w:firstRowLastColumn="0" w:lastRowFirstColumn="0" w:lastRowLastColumn="0"/>
          <w:cantSplit/>
          <w:trHeight w:val="2431"/>
        </w:trPr>
        <w:tc>
          <w:tcPr>
            <w:cnfStyle w:val="001000000000" w:firstRow="0" w:lastRow="0" w:firstColumn="1" w:lastColumn="0" w:oddVBand="0" w:evenVBand="0" w:oddHBand="0" w:evenHBand="0" w:firstRowFirstColumn="0" w:firstRowLastColumn="0" w:lastRowFirstColumn="0" w:lastRowLastColumn="0"/>
            <w:tcW w:w="2943" w:type="dxa"/>
            <w:shd w:val="clear" w:color="auto" w:fill="73A5D8" w:themeFill="accent6"/>
            <w:noWrap/>
            <w:textDirection w:val="tbRl"/>
            <w:vAlign w:val="center"/>
            <w:hideMark/>
          </w:tcPr>
          <w:p w:rsidR="0061781D" w:rsidRPr="0061781D" w:rsidRDefault="0061781D" w:rsidP="0061781D">
            <w:pPr>
              <w:spacing w:after="0"/>
              <w:ind w:left="113" w:right="113"/>
              <w:rPr>
                <w:rFonts w:eastAsia="Times New Roman" w:cstheme="minorHAnsi"/>
                <w:b w:val="0"/>
                <w:color w:val="FFFFFF" w:themeColor="background1"/>
                <w:sz w:val="20"/>
                <w:szCs w:val="20"/>
                <w:lang w:eastAsia="en-GB"/>
              </w:rPr>
            </w:pPr>
          </w:p>
        </w:tc>
        <w:tc>
          <w:tcPr>
            <w:tcW w:w="1434" w:type="dxa"/>
            <w:vMerge/>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677" w:type="dxa"/>
            <w:vMerge/>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828" w:type="dxa"/>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Agri-food</w:t>
            </w:r>
          </w:p>
        </w:tc>
        <w:tc>
          <w:tcPr>
            <w:tcW w:w="790" w:type="dxa"/>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Manufacturing/</w:t>
            </w:r>
            <w:r>
              <w:rPr>
                <w:rFonts w:eastAsia="Times New Roman" w:cstheme="minorHAnsi"/>
                <w:b/>
                <w:color w:val="FFFFFF" w:themeColor="background1"/>
                <w:lang w:eastAsia="en-GB"/>
              </w:rPr>
              <w:t xml:space="preserve"> </w:t>
            </w:r>
            <w:r w:rsidRPr="0064087B">
              <w:rPr>
                <w:rFonts w:eastAsia="Times New Roman" w:cstheme="minorHAnsi"/>
                <w:b/>
                <w:color w:val="FFFFFF" w:themeColor="background1"/>
                <w:lang w:eastAsia="en-GB"/>
              </w:rPr>
              <w:t>Engineering</w:t>
            </w:r>
          </w:p>
        </w:tc>
        <w:tc>
          <w:tcPr>
            <w:tcW w:w="808" w:type="dxa"/>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Visitor Economy</w:t>
            </w:r>
          </w:p>
        </w:tc>
        <w:tc>
          <w:tcPr>
            <w:tcW w:w="677" w:type="dxa"/>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 xml:space="preserve">  Renewables</w:t>
            </w:r>
            <w:r>
              <w:rPr>
                <w:rFonts w:eastAsia="Times New Roman" w:cstheme="minorHAnsi"/>
                <w:b/>
                <w:color w:val="FFFFFF" w:themeColor="background1"/>
                <w:lang w:eastAsia="en-GB"/>
              </w:rPr>
              <w:t>*</w:t>
            </w:r>
          </w:p>
        </w:tc>
        <w:tc>
          <w:tcPr>
            <w:tcW w:w="822" w:type="dxa"/>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Ports &amp; Logistics</w:t>
            </w:r>
            <w:r>
              <w:rPr>
                <w:rFonts w:eastAsia="Times New Roman" w:cstheme="minorHAnsi"/>
                <w:b/>
                <w:color w:val="FFFFFF" w:themeColor="background1"/>
                <w:lang w:eastAsia="en-GB"/>
              </w:rPr>
              <w:t>*</w:t>
            </w:r>
          </w:p>
        </w:tc>
        <w:tc>
          <w:tcPr>
            <w:tcW w:w="851" w:type="dxa"/>
            <w:shd w:val="clear" w:color="auto" w:fill="73A5D8" w:themeFill="accent6"/>
            <w:noWrap/>
            <w:textDirection w:val="tbRl"/>
            <w:vAlign w:val="center"/>
            <w:hideMark/>
          </w:tcPr>
          <w:p w:rsidR="0061781D" w:rsidRPr="0064087B" w:rsidRDefault="0061781D"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Health &amp; Care</w:t>
            </w:r>
          </w:p>
        </w:tc>
      </w:tr>
      <w:tr w:rsidR="0061781D" w:rsidRPr="0061781D"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jc w:val="center"/>
              <w:rPr>
                <w:rFonts w:eastAsia="Times New Roman" w:cstheme="minorHAnsi"/>
                <w:b w:val="0"/>
                <w:i/>
                <w:color w:val="000000"/>
                <w:sz w:val="18"/>
                <w:szCs w:val="18"/>
                <w:lang w:eastAsia="en-GB"/>
              </w:rPr>
            </w:pP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1466</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1099</w:t>
            </w:r>
          </w:p>
        </w:tc>
        <w:tc>
          <w:tcPr>
            <w:tcW w:w="828" w:type="dxa"/>
            <w:tcBorders>
              <w:top w:val="single" w:sz="8" w:space="0" w:color="73A5D8" w:themeColor="accent6"/>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172</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85</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169</w:t>
            </w:r>
          </w:p>
        </w:tc>
        <w:tc>
          <w:tcPr>
            <w:tcW w:w="677" w:type="dxa"/>
            <w:tcBorders>
              <w:top w:val="single" w:sz="8" w:space="0" w:color="73A5D8" w:themeColor="accent6"/>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6</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30</w:t>
            </w:r>
          </w:p>
        </w:tc>
        <w:tc>
          <w:tcPr>
            <w:tcW w:w="851"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113</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6A3374" w:rsidRPr="006A3374" w:rsidRDefault="006A3374" w:rsidP="006A3374">
            <w:pPr>
              <w:spacing w:before="40" w:after="40"/>
              <w:rPr>
                <w:rFonts w:eastAsia="Times New Roman" w:cstheme="minorHAnsi"/>
                <w:color w:val="000000"/>
                <w:lang w:eastAsia="en-GB"/>
              </w:rPr>
            </w:pPr>
            <w:r w:rsidRPr="006A3374">
              <w:rPr>
                <w:rFonts w:cstheme="minorHAnsi"/>
                <w:color w:val="000000"/>
                <w:sz w:val="20"/>
                <w:szCs w:val="20"/>
              </w:rPr>
              <w:t>Performance measures; increases in the last 12 months</w:t>
            </w:r>
          </w:p>
        </w:tc>
      </w:tr>
      <w:tr w:rsidR="0061781D" w:rsidRPr="0064087B"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Profitability</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51</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51</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50</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58</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52</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43</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60</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29</w:t>
            </w:r>
          </w:p>
        </w:tc>
      </w:tr>
      <w:tr w:rsidR="0061781D" w:rsidRPr="0064087B" w:rsidTr="0061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Turnover</w:t>
            </w:r>
          </w:p>
        </w:tc>
        <w:tc>
          <w:tcPr>
            <w:tcW w:w="1434"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55</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55</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56</w:t>
            </w:r>
          </w:p>
        </w:tc>
        <w:tc>
          <w:tcPr>
            <w:tcW w:w="790"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58</w:t>
            </w:r>
          </w:p>
        </w:tc>
        <w:tc>
          <w:tcPr>
            <w:tcW w:w="808" w:type="dxa"/>
            <w:tcBorders>
              <w:right w:val="single" w:sz="8" w:space="0" w:color="73A5D8" w:themeColor="accent6"/>
            </w:tcBorders>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47</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58</w:t>
            </w:r>
          </w:p>
        </w:tc>
        <w:tc>
          <w:tcPr>
            <w:tcW w:w="822"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72</w:t>
            </w:r>
          </w:p>
        </w:tc>
        <w:tc>
          <w:tcPr>
            <w:tcW w:w="851" w:type="dxa"/>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36</w:t>
            </w:r>
          </w:p>
        </w:tc>
      </w:tr>
      <w:tr w:rsidR="0061781D" w:rsidRPr="0064087B"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Market share</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32</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32</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31</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30</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29</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28</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46</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15</w:t>
            </w:r>
          </w:p>
        </w:tc>
      </w:tr>
      <w:tr w:rsidR="0061781D" w:rsidRPr="0064087B" w:rsidTr="0061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Domestic sales</w:t>
            </w:r>
          </w:p>
        </w:tc>
        <w:tc>
          <w:tcPr>
            <w:tcW w:w="1434"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40</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39</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38</w:t>
            </w:r>
          </w:p>
        </w:tc>
        <w:tc>
          <w:tcPr>
            <w:tcW w:w="790"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48</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34</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58</w:t>
            </w:r>
          </w:p>
        </w:tc>
        <w:tc>
          <w:tcPr>
            <w:tcW w:w="822"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41</w:t>
            </w:r>
          </w:p>
        </w:tc>
        <w:tc>
          <w:tcPr>
            <w:tcW w:w="851" w:type="dxa"/>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18</w:t>
            </w:r>
          </w:p>
        </w:tc>
      </w:tr>
      <w:tr w:rsidR="0061781D" w:rsidRPr="0064087B"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Overseas sales</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w:t>
            </w:r>
          </w:p>
        </w:tc>
        <w:tc>
          <w:tcPr>
            <w:tcW w:w="790"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14</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w:t>
            </w:r>
          </w:p>
        </w:tc>
        <w:tc>
          <w:tcPr>
            <w:tcW w:w="677" w:type="dxa"/>
            <w:tcBorders>
              <w:left w:val="single" w:sz="8" w:space="0" w:color="73A5D8" w:themeColor="accent6"/>
            </w:tcBorders>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53</w:t>
            </w:r>
          </w:p>
        </w:tc>
        <w:tc>
          <w:tcPr>
            <w:tcW w:w="822"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29</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1</w:t>
            </w:r>
          </w:p>
        </w:tc>
      </w:tr>
      <w:tr w:rsidR="0061781D" w:rsidRPr="00F34AA3" w:rsidTr="0061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None of the above</w:t>
            </w:r>
          </w:p>
        </w:tc>
        <w:tc>
          <w:tcPr>
            <w:tcW w:w="1434"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30</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30</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26</w:t>
            </w:r>
          </w:p>
        </w:tc>
        <w:tc>
          <w:tcPr>
            <w:tcW w:w="790"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27</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36</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20</w:t>
            </w:r>
          </w:p>
        </w:tc>
        <w:tc>
          <w:tcPr>
            <w:tcW w:w="822"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14</w:t>
            </w:r>
          </w:p>
        </w:tc>
        <w:tc>
          <w:tcPr>
            <w:tcW w:w="851" w:type="dxa"/>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42</w:t>
            </w:r>
          </w:p>
        </w:tc>
      </w:tr>
      <w:tr w:rsidR="0061781D" w:rsidRPr="0064087B"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Experience</w:t>
            </w:r>
            <w:r w:rsidR="00B71C1B">
              <w:rPr>
                <w:rFonts w:cstheme="minorHAnsi"/>
                <w:b w:val="0"/>
                <w:color w:val="000000"/>
                <w:sz w:val="20"/>
                <w:szCs w:val="20"/>
              </w:rPr>
              <w:t>d</w:t>
            </w:r>
            <w:r w:rsidRPr="0061781D">
              <w:rPr>
                <w:rFonts w:cstheme="minorHAnsi"/>
                <w:b w:val="0"/>
                <w:color w:val="000000"/>
                <w:sz w:val="20"/>
                <w:szCs w:val="20"/>
              </w:rPr>
              <w:t xml:space="preserve"> any increases</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65</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65</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65</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69</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59</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80</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77</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43</w:t>
            </w:r>
          </w:p>
        </w:tc>
      </w:tr>
      <w:tr w:rsidR="006A3374" w:rsidRPr="006A3374"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6A3374" w:rsidRPr="006A3374" w:rsidRDefault="006A3374" w:rsidP="006A3374">
            <w:pPr>
              <w:spacing w:before="40" w:after="40"/>
              <w:rPr>
                <w:rFonts w:eastAsia="Times New Roman" w:cstheme="minorHAnsi"/>
                <w:color w:val="000000"/>
                <w:lang w:eastAsia="en-GB"/>
              </w:rPr>
            </w:pPr>
            <w:r w:rsidRPr="006A3374">
              <w:rPr>
                <w:rFonts w:cstheme="minorHAnsi"/>
                <w:color w:val="000000"/>
                <w:sz w:val="20"/>
                <w:szCs w:val="20"/>
              </w:rPr>
              <w:t>Performance measures; expected increases in the next 12 months</w:t>
            </w:r>
          </w:p>
        </w:tc>
      </w:tr>
      <w:tr w:rsidR="0061781D" w:rsidRPr="0061781D"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Profitability</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65</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65</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59</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68</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66</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85</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64</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41</w:t>
            </w:r>
          </w:p>
        </w:tc>
      </w:tr>
      <w:tr w:rsidR="0061781D" w:rsidRPr="0064087B" w:rsidTr="0061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Turnover</w:t>
            </w:r>
          </w:p>
        </w:tc>
        <w:tc>
          <w:tcPr>
            <w:tcW w:w="1434"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66</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66</w:t>
            </w:r>
          </w:p>
        </w:tc>
        <w:tc>
          <w:tcPr>
            <w:tcW w:w="828" w:type="dxa"/>
            <w:tcBorders>
              <w:left w:val="single" w:sz="8" w:space="0" w:color="73A5D8" w:themeColor="accent6"/>
            </w:tcBorders>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56</w:t>
            </w:r>
          </w:p>
        </w:tc>
        <w:tc>
          <w:tcPr>
            <w:tcW w:w="790"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70</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65</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85</w:t>
            </w:r>
          </w:p>
        </w:tc>
        <w:tc>
          <w:tcPr>
            <w:tcW w:w="822"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59</w:t>
            </w:r>
          </w:p>
        </w:tc>
        <w:tc>
          <w:tcPr>
            <w:tcW w:w="851" w:type="dxa"/>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42</w:t>
            </w:r>
          </w:p>
        </w:tc>
      </w:tr>
      <w:tr w:rsidR="0061781D" w:rsidRPr="0064087B"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Market share</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46</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46</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41</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49</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41</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64</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51</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25</w:t>
            </w:r>
          </w:p>
        </w:tc>
      </w:tr>
      <w:tr w:rsidR="0061781D" w:rsidRPr="0064087B" w:rsidTr="0061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Domestic sales</w:t>
            </w:r>
          </w:p>
        </w:tc>
        <w:tc>
          <w:tcPr>
            <w:tcW w:w="1434"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51</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51</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46</w:t>
            </w:r>
          </w:p>
        </w:tc>
        <w:tc>
          <w:tcPr>
            <w:tcW w:w="790"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59</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46</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85</w:t>
            </w:r>
          </w:p>
        </w:tc>
        <w:tc>
          <w:tcPr>
            <w:tcW w:w="822"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41</w:t>
            </w:r>
          </w:p>
        </w:tc>
        <w:tc>
          <w:tcPr>
            <w:tcW w:w="851" w:type="dxa"/>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20</w:t>
            </w:r>
          </w:p>
        </w:tc>
      </w:tr>
      <w:tr w:rsidR="0061781D" w:rsidRPr="0064087B"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Overseas sales</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10</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10</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10</w:t>
            </w:r>
          </w:p>
        </w:tc>
        <w:tc>
          <w:tcPr>
            <w:tcW w:w="790"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25</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38</w:t>
            </w:r>
          </w:p>
        </w:tc>
        <w:tc>
          <w:tcPr>
            <w:tcW w:w="822"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25</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2</w:t>
            </w:r>
          </w:p>
        </w:tc>
      </w:tr>
      <w:tr w:rsidR="0061781D" w:rsidRPr="0064087B" w:rsidTr="0061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None of the above</w:t>
            </w:r>
          </w:p>
        </w:tc>
        <w:tc>
          <w:tcPr>
            <w:tcW w:w="1434"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21</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21</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23</w:t>
            </w:r>
          </w:p>
        </w:tc>
        <w:tc>
          <w:tcPr>
            <w:tcW w:w="790"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16</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22</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15</w:t>
            </w:r>
          </w:p>
        </w:tc>
        <w:tc>
          <w:tcPr>
            <w:tcW w:w="822" w:type="dxa"/>
            <w:noWrap/>
            <w:vAlign w:val="center"/>
            <w:hideMark/>
          </w:tcPr>
          <w:p w:rsidR="0061781D" w:rsidRPr="0061781D"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1781D">
              <w:rPr>
                <w:rFonts w:cstheme="minorHAnsi"/>
                <w:color w:val="000000"/>
              </w:rPr>
              <w:t>22</w:t>
            </w:r>
          </w:p>
        </w:tc>
        <w:tc>
          <w:tcPr>
            <w:tcW w:w="851" w:type="dxa"/>
            <w:noWrap/>
            <w:vAlign w:val="center"/>
            <w:hideMark/>
          </w:tcPr>
          <w:p w:rsidR="0061781D" w:rsidRPr="00547517" w:rsidRDefault="0061781D" w:rsidP="0061781D">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36</w:t>
            </w:r>
          </w:p>
        </w:tc>
      </w:tr>
      <w:tr w:rsidR="0061781D" w:rsidRPr="0061781D" w:rsidTr="0061781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1781D" w:rsidRPr="0061781D" w:rsidRDefault="0061781D" w:rsidP="0061781D">
            <w:pPr>
              <w:spacing w:before="40" w:after="40"/>
              <w:rPr>
                <w:rFonts w:cstheme="minorHAnsi"/>
                <w:b w:val="0"/>
                <w:color w:val="000000"/>
                <w:sz w:val="20"/>
                <w:szCs w:val="20"/>
              </w:rPr>
            </w:pPr>
            <w:r w:rsidRPr="0061781D">
              <w:rPr>
                <w:rFonts w:cstheme="minorHAnsi"/>
                <w:b w:val="0"/>
                <w:color w:val="000000"/>
                <w:sz w:val="20"/>
                <w:szCs w:val="20"/>
              </w:rPr>
              <w:t>Expect to experience any increases</w:t>
            </w:r>
          </w:p>
        </w:tc>
        <w:tc>
          <w:tcPr>
            <w:tcW w:w="1434"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72</w:t>
            </w:r>
          </w:p>
        </w:tc>
        <w:tc>
          <w:tcPr>
            <w:tcW w:w="677"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72</w:t>
            </w:r>
          </w:p>
        </w:tc>
        <w:tc>
          <w:tcPr>
            <w:tcW w:w="828"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66</w:t>
            </w:r>
          </w:p>
        </w:tc>
        <w:tc>
          <w:tcPr>
            <w:tcW w:w="790"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75</w:t>
            </w:r>
          </w:p>
        </w:tc>
        <w:tc>
          <w:tcPr>
            <w:tcW w:w="808" w:type="dxa"/>
            <w:tcBorders>
              <w:righ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70</w:t>
            </w:r>
          </w:p>
        </w:tc>
        <w:tc>
          <w:tcPr>
            <w:tcW w:w="677" w:type="dxa"/>
            <w:tcBorders>
              <w:left w:val="single" w:sz="8" w:space="0" w:color="73A5D8" w:themeColor="accent6"/>
            </w:tcBorders>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85</w:t>
            </w:r>
          </w:p>
        </w:tc>
        <w:tc>
          <w:tcPr>
            <w:tcW w:w="822" w:type="dxa"/>
            <w:noWrap/>
            <w:vAlign w:val="center"/>
            <w:hideMark/>
          </w:tcPr>
          <w:p w:rsidR="0061781D" w:rsidRPr="0061781D"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781D">
              <w:rPr>
                <w:rFonts w:cstheme="minorHAnsi"/>
                <w:color w:val="000000"/>
              </w:rPr>
              <w:t>69</w:t>
            </w:r>
          </w:p>
        </w:tc>
        <w:tc>
          <w:tcPr>
            <w:tcW w:w="851" w:type="dxa"/>
            <w:noWrap/>
            <w:vAlign w:val="center"/>
            <w:hideMark/>
          </w:tcPr>
          <w:p w:rsidR="0061781D" w:rsidRPr="00547517" w:rsidRDefault="0061781D" w:rsidP="0061781D">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47</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1781D" w:rsidRDefault="0061781D" w:rsidP="0061781D">
      <w:pPr>
        <w:pStyle w:val="BodyText"/>
      </w:pPr>
    </w:p>
    <w:p w:rsidR="00B71C1B" w:rsidRDefault="00B71C1B">
      <w:pPr>
        <w:spacing w:after="360"/>
        <w:rPr>
          <w:b/>
          <w:bCs/>
          <w:szCs w:val="18"/>
        </w:rPr>
      </w:pPr>
      <w:r>
        <w:br w:type="page"/>
      </w:r>
    </w:p>
    <w:p w:rsidR="00B71C1B" w:rsidRDefault="00B71C1B" w:rsidP="00B71C1B">
      <w:pPr>
        <w:pStyle w:val="Caption"/>
      </w:pPr>
      <w:r>
        <w:t>Table 10.7:  Proportion of employers that introduced new or significantly improved products, services or processes in the last 12 months (all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6A33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1781D" w:rsidRDefault="00F42270" w:rsidP="006A3374">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cantSplit/>
          <w:trHeight w:val="2431"/>
        </w:trPr>
        <w:tc>
          <w:tcPr>
            <w:cnfStyle w:val="001000000000" w:firstRow="0" w:lastRow="0" w:firstColumn="1" w:lastColumn="0" w:oddVBand="0" w:evenVBand="0" w:oddHBand="0" w:evenHBand="0" w:firstRowFirstColumn="0" w:firstRowLastColumn="0" w:lastRowFirstColumn="0" w:lastRowLastColumn="0"/>
            <w:tcW w:w="2943" w:type="dxa"/>
            <w:shd w:val="clear" w:color="auto" w:fill="73A5D8" w:themeFill="accent6"/>
            <w:noWrap/>
            <w:textDirection w:val="tbRl"/>
            <w:vAlign w:val="center"/>
            <w:hideMark/>
          </w:tcPr>
          <w:p w:rsidR="006A3374" w:rsidRPr="0061781D" w:rsidRDefault="006A3374" w:rsidP="006A3374">
            <w:pPr>
              <w:spacing w:after="0"/>
              <w:ind w:left="113" w:right="113"/>
              <w:rPr>
                <w:rFonts w:eastAsia="Times New Roman" w:cstheme="minorHAnsi"/>
                <w:b w:val="0"/>
                <w:color w:val="FFFFFF" w:themeColor="background1"/>
                <w:sz w:val="20"/>
                <w:szCs w:val="20"/>
                <w:lang w:eastAsia="en-GB"/>
              </w:rPr>
            </w:pPr>
          </w:p>
        </w:tc>
        <w:tc>
          <w:tcPr>
            <w:tcW w:w="1434"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677"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82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Agri-food</w:t>
            </w:r>
          </w:p>
        </w:tc>
        <w:tc>
          <w:tcPr>
            <w:tcW w:w="790"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Manufacturing/</w:t>
            </w:r>
            <w:r>
              <w:rPr>
                <w:rFonts w:eastAsia="Times New Roman" w:cstheme="minorHAnsi"/>
                <w:b/>
                <w:color w:val="FFFFFF" w:themeColor="background1"/>
                <w:lang w:eastAsia="en-GB"/>
              </w:rPr>
              <w:t xml:space="preserve"> </w:t>
            </w:r>
            <w:r w:rsidRPr="0064087B">
              <w:rPr>
                <w:rFonts w:eastAsia="Times New Roman" w:cstheme="minorHAnsi"/>
                <w:b/>
                <w:color w:val="FFFFFF" w:themeColor="background1"/>
                <w:lang w:eastAsia="en-GB"/>
              </w:rPr>
              <w:t>Engineering</w:t>
            </w:r>
          </w:p>
        </w:tc>
        <w:tc>
          <w:tcPr>
            <w:tcW w:w="80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Visitor Economy</w:t>
            </w:r>
          </w:p>
        </w:tc>
        <w:tc>
          <w:tcPr>
            <w:tcW w:w="677"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 xml:space="preserve">  Renewables</w:t>
            </w:r>
            <w:r>
              <w:rPr>
                <w:rFonts w:eastAsia="Times New Roman" w:cstheme="minorHAnsi"/>
                <w:b/>
                <w:color w:val="FFFFFF" w:themeColor="background1"/>
                <w:lang w:eastAsia="en-GB"/>
              </w:rPr>
              <w:t>*</w:t>
            </w:r>
          </w:p>
        </w:tc>
        <w:tc>
          <w:tcPr>
            <w:tcW w:w="822"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Ports &amp; Logistics</w:t>
            </w:r>
            <w:r>
              <w:rPr>
                <w:rFonts w:eastAsia="Times New Roman" w:cstheme="minorHAnsi"/>
                <w:b/>
                <w:color w:val="FFFFFF" w:themeColor="background1"/>
                <w:lang w:eastAsia="en-GB"/>
              </w:rPr>
              <w:t>*</w:t>
            </w:r>
          </w:p>
        </w:tc>
        <w:tc>
          <w:tcPr>
            <w:tcW w:w="851"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Health &amp; Care</w:t>
            </w:r>
          </w:p>
        </w:tc>
      </w:tr>
      <w:tr w:rsidR="006A3374" w:rsidRPr="0061781D"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1781D" w:rsidRDefault="006A3374" w:rsidP="006A3374">
            <w:pPr>
              <w:spacing w:before="40" w:after="40"/>
              <w:jc w:val="center"/>
              <w:rPr>
                <w:rFonts w:eastAsia="Times New Roman" w:cstheme="minorHAnsi"/>
                <w:b w:val="0"/>
                <w:i/>
                <w:color w:val="000000"/>
                <w:sz w:val="18"/>
                <w:szCs w:val="18"/>
                <w:lang w:eastAsia="en-GB"/>
              </w:rPr>
            </w:pPr>
          </w:p>
        </w:tc>
        <w:tc>
          <w:tcPr>
            <w:tcW w:w="1434"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top w:val="single" w:sz="8" w:space="0" w:color="73A5D8" w:themeColor="accent6"/>
              <w:lef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top w:val="single" w:sz="8" w:space="0" w:color="73A5D8" w:themeColor="accent6"/>
              <w:lef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6A3374" w:rsidRPr="006A3374"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6A3374" w:rsidRPr="006A3374" w:rsidRDefault="006A3374" w:rsidP="006A3374">
            <w:pPr>
              <w:spacing w:before="40" w:after="40"/>
              <w:rPr>
                <w:rFonts w:cstheme="minorHAnsi"/>
                <w:color w:val="000000"/>
              </w:rPr>
            </w:pPr>
            <w:r w:rsidRPr="006A3374">
              <w:rPr>
                <w:rFonts w:ascii="Arial" w:hAnsi="Arial" w:cs="Arial"/>
                <w:color w:val="000000"/>
                <w:sz w:val="20"/>
                <w:szCs w:val="20"/>
              </w:rPr>
              <w:t>Innovation in the last 12 months</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ascii="Arial" w:hAnsi="Arial" w:cs="Arial"/>
                <w:b w:val="0"/>
                <w:color w:val="000000"/>
                <w:sz w:val="20"/>
                <w:szCs w:val="20"/>
              </w:rPr>
            </w:pPr>
            <w:r w:rsidRPr="006A3374">
              <w:rPr>
                <w:rFonts w:ascii="Arial" w:hAnsi="Arial" w:cs="Arial"/>
                <w:b w:val="0"/>
                <w:color w:val="000000"/>
                <w:sz w:val="20"/>
                <w:szCs w:val="20"/>
              </w:rPr>
              <w:t>Introduced new products/ services</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38</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38</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38</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47</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38</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47</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27</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32</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ascii="Arial" w:hAnsi="Arial" w:cs="Arial"/>
                <w:b w:val="0"/>
                <w:color w:val="000000"/>
                <w:sz w:val="20"/>
                <w:szCs w:val="20"/>
              </w:rPr>
            </w:pPr>
            <w:r w:rsidRPr="006A3374">
              <w:rPr>
                <w:rFonts w:ascii="Arial" w:hAnsi="Arial" w:cs="Arial"/>
                <w:b w:val="0"/>
                <w:color w:val="000000"/>
                <w:sz w:val="20"/>
                <w:szCs w:val="20"/>
              </w:rPr>
              <w:t>Introduced new processes</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34</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34</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32</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36</w:t>
            </w:r>
          </w:p>
        </w:tc>
        <w:tc>
          <w:tcPr>
            <w:tcW w:w="808" w:type="dxa"/>
            <w:tcBorders>
              <w:righ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26</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30</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29</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38</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ascii="Arial" w:hAnsi="Arial" w:cs="Arial"/>
                <w:b w:val="0"/>
                <w:color w:val="000000"/>
                <w:sz w:val="20"/>
                <w:szCs w:val="20"/>
              </w:rPr>
            </w:pPr>
            <w:r w:rsidRPr="006A3374">
              <w:rPr>
                <w:rFonts w:ascii="Arial" w:hAnsi="Arial" w:cs="Arial"/>
                <w:b w:val="0"/>
                <w:color w:val="000000"/>
                <w:sz w:val="20"/>
                <w:szCs w:val="20"/>
              </w:rPr>
              <w:t>Introduced either</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49</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50</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46</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56</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44</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47</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37</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50</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A3374" w:rsidRDefault="006A3374" w:rsidP="006A3374">
            <w:pPr>
              <w:spacing w:before="40" w:after="40"/>
              <w:rPr>
                <w:rFonts w:ascii="Arial" w:hAnsi="Arial" w:cs="Arial"/>
                <w:b w:val="0"/>
                <w:color w:val="000000"/>
                <w:sz w:val="20"/>
                <w:szCs w:val="20"/>
              </w:rPr>
            </w:pPr>
            <w:r w:rsidRPr="006A3374">
              <w:rPr>
                <w:rFonts w:ascii="Arial" w:hAnsi="Arial" w:cs="Arial"/>
                <w:b w:val="0"/>
                <w:color w:val="000000"/>
                <w:sz w:val="20"/>
                <w:szCs w:val="20"/>
              </w:rPr>
              <w:t>No innovation</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51</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50</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54</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44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56</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53</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63</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50</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A3374" w:rsidRDefault="006A3374" w:rsidP="00651896">
      <w:pPr>
        <w:pStyle w:val="BodyText"/>
      </w:pPr>
    </w:p>
    <w:p w:rsidR="00B71C1B" w:rsidRDefault="00B71C1B" w:rsidP="00B71C1B">
      <w:pPr>
        <w:pStyle w:val="Caption"/>
      </w:pPr>
      <w:r>
        <w:t>Table 10.8:  Proportion of employers that export their goods or services (all private sector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6A33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1781D" w:rsidRDefault="00F42270" w:rsidP="006A3374">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cantSplit/>
          <w:trHeight w:val="2431"/>
        </w:trPr>
        <w:tc>
          <w:tcPr>
            <w:cnfStyle w:val="001000000000" w:firstRow="0" w:lastRow="0" w:firstColumn="1" w:lastColumn="0" w:oddVBand="0" w:evenVBand="0" w:oddHBand="0" w:evenHBand="0" w:firstRowFirstColumn="0" w:firstRowLastColumn="0" w:lastRowFirstColumn="0" w:lastRowLastColumn="0"/>
            <w:tcW w:w="2943" w:type="dxa"/>
            <w:shd w:val="clear" w:color="auto" w:fill="73A5D8" w:themeFill="accent6"/>
            <w:noWrap/>
            <w:textDirection w:val="tbRl"/>
            <w:vAlign w:val="center"/>
            <w:hideMark/>
          </w:tcPr>
          <w:p w:rsidR="006A3374" w:rsidRPr="0061781D" w:rsidRDefault="006A3374" w:rsidP="006A3374">
            <w:pPr>
              <w:spacing w:after="0"/>
              <w:ind w:left="113" w:right="113"/>
              <w:rPr>
                <w:rFonts w:eastAsia="Times New Roman" w:cstheme="minorHAnsi"/>
                <w:b w:val="0"/>
                <w:color w:val="FFFFFF" w:themeColor="background1"/>
                <w:sz w:val="20"/>
                <w:szCs w:val="20"/>
                <w:lang w:eastAsia="en-GB"/>
              </w:rPr>
            </w:pPr>
          </w:p>
        </w:tc>
        <w:tc>
          <w:tcPr>
            <w:tcW w:w="1434"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677"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82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Agri-food</w:t>
            </w:r>
          </w:p>
        </w:tc>
        <w:tc>
          <w:tcPr>
            <w:tcW w:w="790"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Manufacturing/</w:t>
            </w:r>
            <w:r>
              <w:rPr>
                <w:rFonts w:eastAsia="Times New Roman" w:cstheme="minorHAnsi"/>
                <w:b/>
                <w:color w:val="FFFFFF" w:themeColor="background1"/>
                <w:lang w:eastAsia="en-GB"/>
              </w:rPr>
              <w:t xml:space="preserve"> </w:t>
            </w:r>
            <w:r w:rsidRPr="0064087B">
              <w:rPr>
                <w:rFonts w:eastAsia="Times New Roman" w:cstheme="minorHAnsi"/>
                <w:b/>
                <w:color w:val="FFFFFF" w:themeColor="background1"/>
                <w:lang w:eastAsia="en-GB"/>
              </w:rPr>
              <w:t>Engineering</w:t>
            </w:r>
          </w:p>
        </w:tc>
        <w:tc>
          <w:tcPr>
            <w:tcW w:w="80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Visitor Economy</w:t>
            </w:r>
          </w:p>
        </w:tc>
        <w:tc>
          <w:tcPr>
            <w:tcW w:w="677"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 xml:space="preserve">  Renewables</w:t>
            </w:r>
            <w:r>
              <w:rPr>
                <w:rFonts w:eastAsia="Times New Roman" w:cstheme="minorHAnsi"/>
                <w:b/>
                <w:color w:val="FFFFFF" w:themeColor="background1"/>
                <w:lang w:eastAsia="en-GB"/>
              </w:rPr>
              <w:t>*</w:t>
            </w:r>
          </w:p>
        </w:tc>
        <w:tc>
          <w:tcPr>
            <w:tcW w:w="822"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Ports &amp; Logistics</w:t>
            </w:r>
            <w:r>
              <w:rPr>
                <w:rFonts w:eastAsia="Times New Roman" w:cstheme="minorHAnsi"/>
                <w:b/>
                <w:color w:val="FFFFFF" w:themeColor="background1"/>
                <w:lang w:eastAsia="en-GB"/>
              </w:rPr>
              <w:t>*</w:t>
            </w:r>
          </w:p>
        </w:tc>
        <w:tc>
          <w:tcPr>
            <w:tcW w:w="851"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Health &amp; Care</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1781D" w:rsidRDefault="006A3374" w:rsidP="006A3374">
            <w:pPr>
              <w:spacing w:before="40" w:after="40"/>
              <w:jc w:val="center"/>
              <w:rPr>
                <w:rFonts w:eastAsia="Times New Roman" w:cstheme="minorHAnsi"/>
                <w:b w:val="0"/>
                <w:i/>
                <w:color w:val="000000"/>
                <w:sz w:val="18"/>
                <w:szCs w:val="18"/>
                <w:lang w:eastAsia="en-GB"/>
              </w:rPr>
            </w:pPr>
          </w:p>
        </w:tc>
        <w:tc>
          <w:tcPr>
            <w:tcW w:w="1434" w:type="dxa"/>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1466</w:t>
            </w:r>
          </w:p>
        </w:tc>
        <w:tc>
          <w:tcPr>
            <w:tcW w:w="677" w:type="dxa"/>
            <w:tcBorders>
              <w:right w:val="single" w:sz="8" w:space="0" w:color="73A5D8" w:themeColor="accent6"/>
            </w:tcBorders>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1099</w:t>
            </w:r>
          </w:p>
        </w:tc>
        <w:tc>
          <w:tcPr>
            <w:tcW w:w="828" w:type="dxa"/>
            <w:tcBorders>
              <w:top w:val="single" w:sz="8" w:space="0" w:color="73A5D8" w:themeColor="accent6"/>
              <w:left w:val="single" w:sz="8" w:space="0" w:color="73A5D8" w:themeColor="accent6"/>
            </w:tcBorders>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172</w:t>
            </w:r>
          </w:p>
        </w:tc>
        <w:tc>
          <w:tcPr>
            <w:tcW w:w="790" w:type="dxa"/>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85</w:t>
            </w:r>
          </w:p>
        </w:tc>
        <w:tc>
          <w:tcPr>
            <w:tcW w:w="808" w:type="dxa"/>
            <w:tcBorders>
              <w:right w:val="single" w:sz="8" w:space="0" w:color="73A5D8" w:themeColor="accent6"/>
            </w:tcBorders>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169</w:t>
            </w:r>
          </w:p>
        </w:tc>
        <w:tc>
          <w:tcPr>
            <w:tcW w:w="677" w:type="dxa"/>
            <w:tcBorders>
              <w:top w:val="single" w:sz="8" w:space="0" w:color="73A5D8" w:themeColor="accent6"/>
              <w:left w:val="single" w:sz="8" w:space="0" w:color="73A5D8" w:themeColor="accent6"/>
            </w:tcBorders>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6</w:t>
            </w:r>
          </w:p>
        </w:tc>
        <w:tc>
          <w:tcPr>
            <w:tcW w:w="822" w:type="dxa"/>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30</w:t>
            </w:r>
          </w:p>
        </w:tc>
        <w:tc>
          <w:tcPr>
            <w:tcW w:w="851" w:type="dxa"/>
            <w:noWrap/>
            <w:vAlign w:val="center"/>
            <w:hideMark/>
          </w:tcPr>
          <w:p w:rsidR="006A3374" w:rsidRPr="006178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18"/>
              </w:rPr>
            </w:pPr>
            <w:r w:rsidRPr="0061781D">
              <w:rPr>
                <w:rFonts w:cstheme="minorHAnsi"/>
                <w:i/>
                <w:color w:val="000000"/>
                <w:sz w:val="20"/>
                <w:szCs w:val="18"/>
              </w:rPr>
              <w:t>113</w:t>
            </w:r>
          </w:p>
        </w:tc>
      </w:tr>
      <w:tr w:rsidR="006A3374" w:rsidRPr="006A3374"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bottom"/>
            <w:hideMark/>
          </w:tcPr>
          <w:p w:rsidR="006A3374" w:rsidRPr="006A3374" w:rsidRDefault="006A3374" w:rsidP="006A3374">
            <w:pPr>
              <w:spacing w:before="40" w:after="40"/>
              <w:rPr>
                <w:rFonts w:cstheme="minorHAnsi"/>
                <w:color w:val="000000"/>
              </w:rPr>
            </w:pPr>
            <w:r w:rsidRPr="006A3374">
              <w:rPr>
                <w:rFonts w:cstheme="minorHAnsi"/>
                <w:color w:val="000000"/>
                <w:sz w:val="20"/>
              </w:rPr>
              <w:t>Exporting</w:t>
            </w:r>
          </w:p>
        </w:tc>
      </w:tr>
      <w:tr w:rsidR="006A3374" w:rsidRPr="006A3374"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cstheme="minorHAnsi"/>
                <w:b w:val="0"/>
                <w:color w:val="000000"/>
                <w:sz w:val="20"/>
              </w:rPr>
            </w:pPr>
            <w:r w:rsidRPr="006A3374">
              <w:rPr>
                <w:rFonts w:cstheme="minorHAnsi"/>
                <w:b w:val="0"/>
                <w:color w:val="000000"/>
                <w:sz w:val="20"/>
              </w:rPr>
              <w:t xml:space="preserve">Export </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12</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12</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14</w:t>
            </w:r>
          </w:p>
        </w:tc>
        <w:tc>
          <w:tcPr>
            <w:tcW w:w="790"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30</w:t>
            </w:r>
          </w:p>
        </w:tc>
        <w:tc>
          <w:tcPr>
            <w:tcW w:w="808" w:type="dxa"/>
            <w:tcBorders>
              <w:right w:val="single" w:sz="8" w:space="0" w:color="73A5D8" w:themeColor="accent6"/>
            </w:tcBorders>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u w:val="single"/>
              </w:rPr>
            </w:pPr>
            <w:r w:rsidRPr="00547517">
              <w:rPr>
                <w:rFonts w:cstheme="minorHAnsi"/>
                <w:color w:val="000000"/>
                <w:u w:val="single"/>
              </w:rPr>
              <w:t>4</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68</w:t>
            </w:r>
          </w:p>
        </w:tc>
        <w:tc>
          <w:tcPr>
            <w:tcW w:w="822"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47517">
              <w:rPr>
                <w:rFonts w:cstheme="minorHAnsi"/>
                <w:b/>
                <w:color w:val="000000"/>
              </w:rPr>
              <w:t>27</w:t>
            </w:r>
          </w:p>
        </w:tc>
        <w:tc>
          <w:tcPr>
            <w:tcW w:w="851" w:type="dxa"/>
            <w:noWrap/>
            <w:vAlign w:val="center"/>
            <w:hideMark/>
          </w:tcPr>
          <w:p w:rsidR="006A3374" w:rsidRPr="00547517"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547517">
              <w:rPr>
                <w:rFonts w:cstheme="minorHAnsi"/>
                <w:i/>
                <w:color w:val="000000"/>
              </w:rPr>
              <w:t>1</w:t>
            </w:r>
          </w:p>
        </w:tc>
      </w:tr>
      <w:tr w:rsidR="006A3374" w:rsidRPr="006A3374"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cstheme="minorHAnsi"/>
                <w:b w:val="0"/>
                <w:color w:val="000000"/>
                <w:sz w:val="20"/>
              </w:rPr>
            </w:pPr>
            <w:r w:rsidRPr="006A3374">
              <w:rPr>
                <w:rFonts w:cstheme="minorHAnsi"/>
                <w:b w:val="0"/>
                <w:color w:val="000000"/>
                <w:sz w:val="20"/>
              </w:rPr>
              <w:t>Do not export</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87</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87</w:t>
            </w:r>
          </w:p>
        </w:tc>
        <w:tc>
          <w:tcPr>
            <w:tcW w:w="828" w:type="dxa"/>
            <w:tcBorders>
              <w:lef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82</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70</w:t>
            </w:r>
          </w:p>
        </w:tc>
        <w:tc>
          <w:tcPr>
            <w:tcW w:w="808" w:type="dxa"/>
            <w:tcBorders>
              <w:right w:val="single" w:sz="8" w:space="0" w:color="73A5D8" w:themeColor="accent6"/>
            </w:tcBorders>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96</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32</w:t>
            </w:r>
          </w:p>
        </w:tc>
        <w:tc>
          <w:tcPr>
            <w:tcW w:w="822" w:type="dxa"/>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547517">
              <w:rPr>
                <w:rFonts w:cstheme="minorHAnsi"/>
                <w:i/>
                <w:color w:val="000000"/>
              </w:rPr>
              <w:t>73</w:t>
            </w:r>
          </w:p>
        </w:tc>
        <w:tc>
          <w:tcPr>
            <w:tcW w:w="851" w:type="dxa"/>
            <w:noWrap/>
            <w:vAlign w:val="center"/>
            <w:hideMark/>
          </w:tcPr>
          <w:p w:rsidR="006A3374" w:rsidRPr="00547517"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547517">
              <w:rPr>
                <w:rFonts w:cstheme="minorHAnsi"/>
                <w:b/>
                <w:color w:val="000000"/>
              </w:rPr>
              <w:t>98</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A3374" w:rsidRDefault="006A3374" w:rsidP="00651896">
      <w:pPr>
        <w:pStyle w:val="BodyText"/>
      </w:pPr>
    </w:p>
    <w:p w:rsidR="00B71C1B" w:rsidRDefault="00B71C1B">
      <w:pPr>
        <w:spacing w:after="360"/>
        <w:rPr>
          <w:b/>
          <w:bCs/>
          <w:szCs w:val="18"/>
        </w:rPr>
      </w:pPr>
      <w:r>
        <w:br w:type="page"/>
      </w:r>
    </w:p>
    <w:p w:rsidR="00B71C1B" w:rsidRDefault="00B71C1B" w:rsidP="00B71C1B">
      <w:pPr>
        <w:pStyle w:val="Caption"/>
      </w:pPr>
      <w:r>
        <w:t>Table 10.9:  Proportion of employers that agree with statements about broadband access and access to mobile networks and social media (all employers)</w:t>
      </w:r>
    </w:p>
    <w:tbl>
      <w:tblPr>
        <w:tblStyle w:val="LightList-Accent6"/>
        <w:tblW w:w="9830" w:type="dxa"/>
        <w:tblLook w:val="04A0" w:firstRow="1" w:lastRow="0" w:firstColumn="1" w:lastColumn="0" w:noHBand="0" w:noVBand="1"/>
      </w:tblPr>
      <w:tblGrid>
        <w:gridCol w:w="2943"/>
        <w:gridCol w:w="1434"/>
        <w:gridCol w:w="677"/>
        <w:gridCol w:w="828"/>
        <w:gridCol w:w="790"/>
        <w:gridCol w:w="808"/>
        <w:gridCol w:w="677"/>
        <w:gridCol w:w="822"/>
        <w:gridCol w:w="851"/>
      </w:tblGrid>
      <w:tr w:rsidR="00F42270" w:rsidRPr="0064087B" w:rsidTr="006A33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F42270" w:rsidRPr="0061781D" w:rsidRDefault="00F42270" w:rsidP="006A3374">
            <w:pPr>
              <w:spacing w:after="0"/>
              <w:rPr>
                <w:rFonts w:eastAsia="Times New Roman" w:cstheme="minorHAnsi"/>
                <w:b w:val="0"/>
                <w:sz w:val="20"/>
                <w:szCs w:val="20"/>
                <w:lang w:eastAsia="en-GB"/>
              </w:rPr>
            </w:pPr>
          </w:p>
        </w:tc>
        <w:tc>
          <w:tcPr>
            <w:tcW w:w="1434"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Greater Lincolnshire </w:t>
            </w:r>
          </w:p>
        </w:tc>
        <w:tc>
          <w:tcPr>
            <w:tcW w:w="677" w:type="dxa"/>
            <w:vMerge w:val="restart"/>
            <w:noWrap/>
            <w:textDirection w:val="tbRl"/>
            <w:vAlign w:val="center"/>
            <w:hideMark/>
          </w:tcPr>
          <w:p w:rsidR="00F42270" w:rsidRPr="0064087B" w:rsidRDefault="00F42270" w:rsidP="006A6DDF">
            <w:pPr>
              <w:spacing w:after="0"/>
              <w:ind w:left="113"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64087B">
              <w:rPr>
                <w:rFonts w:eastAsia="Times New Roman" w:cstheme="minorHAnsi"/>
                <w:lang w:eastAsia="en-GB"/>
              </w:rPr>
              <w:t xml:space="preserve">Lincolnshire county </w:t>
            </w:r>
          </w:p>
        </w:tc>
        <w:tc>
          <w:tcPr>
            <w:tcW w:w="2426" w:type="dxa"/>
            <w:gridSpan w:val="3"/>
            <w:noWrap/>
            <w:hideMark/>
          </w:tcPr>
          <w:p w:rsidR="00F42270" w:rsidRPr="0064087B" w:rsidRDefault="00F42270" w:rsidP="006A337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64087B">
              <w:rPr>
                <w:rFonts w:eastAsia="Times New Roman" w:cstheme="minorHAnsi"/>
                <w:lang w:eastAsia="en-GB"/>
              </w:rPr>
              <w:t>Priority Sectors</w:t>
            </w:r>
          </w:p>
        </w:tc>
        <w:tc>
          <w:tcPr>
            <w:tcW w:w="2350" w:type="dxa"/>
            <w:gridSpan w:val="3"/>
            <w:noWrap/>
            <w:vAlign w:val="center"/>
            <w:hideMark/>
          </w:tcPr>
          <w:p w:rsidR="00F42270" w:rsidRPr="0064087B" w:rsidRDefault="00F42270" w:rsidP="006A337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64087B">
              <w:rPr>
                <w:rFonts w:eastAsia="Times New Roman" w:cstheme="minorHAnsi"/>
                <w:lang w:eastAsia="en-GB"/>
              </w:rPr>
              <w:t>Emerging Sectors</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cantSplit/>
          <w:trHeight w:val="2431"/>
        </w:trPr>
        <w:tc>
          <w:tcPr>
            <w:cnfStyle w:val="001000000000" w:firstRow="0" w:lastRow="0" w:firstColumn="1" w:lastColumn="0" w:oddVBand="0" w:evenVBand="0" w:oddHBand="0" w:evenHBand="0" w:firstRowFirstColumn="0" w:firstRowLastColumn="0" w:lastRowFirstColumn="0" w:lastRowLastColumn="0"/>
            <w:tcW w:w="2943" w:type="dxa"/>
            <w:shd w:val="clear" w:color="auto" w:fill="73A5D8" w:themeFill="accent6"/>
            <w:noWrap/>
            <w:textDirection w:val="tbRl"/>
            <w:vAlign w:val="center"/>
            <w:hideMark/>
          </w:tcPr>
          <w:p w:rsidR="006A3374" w:rsidRPr="0061781D" w:rsidRDefault="006A3374" w:rsidP="006A3374">
            <w:pPr>
              <w:spacing w:after="0"/>
              <w:ind w:left="113" w:right="113"/>
              <w:rPr>
                <w:rFonts w:eastAsia="Times New Roman" w:cstheme="minorHAnsi"/>
                <w:b w:val="0"/>
                <w:color w:val="FFFFFF" w:themeColor="background1"/>
                <w:sz w:val="20"/>
                <w:szCs w:val="20"/>
                <w:lang w:eastAsia="en-GB"/>
              </w:rPr>
            </w:pPr>
          </w:p>
        </w:tc>
        <w:tc>
          <w:tcPr>
            <w:tcW w:w="1434"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677" w:type="dxa"/>
            <w:vMerge/>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p>
        </w:tc>
        <w:tc>
          <w:tcPr>
            <w:tcW w:w="82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Agri-food</w:t>
            </w:r>
          </w:p>
        </w:tc>
        <w:tc>
          <w:tcPr>
            <w:tcW w:w="790"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Manufacturing/</w:t>
            </w:r>
            <w:r>
              <w:rPr>
                <w:rFonts w:eastAsia="Times New Roman" w:cstheme="minorHAnsi"/>
                <w:b/>
                <w:color w:val="FFFFFF" w:themeColor="background1"/>
                <w:lang w:eastAsia="en-GB"/>
              </w:rPr>
              <w:t xml:space="preserve"> </w:t>
            </w:r>
            <w:r w:rsidRPr="0064087B">
              <w:rPr>
                <w:rFonts w:eastAsia="Times New Roman" w:cstheme="minorHAnsi"/>
                <w:b/>
                <w:color w:val="FFFFFF" w:themeColor="background1"/>
                <w:lang w:eastAsia="en-GB"/>
              </w:rPr>
              <w:t>Engineering</w:t>
            </w:r>
          </w:p>
        </w:tc>
        <w:tc>
          <w:tcPr>
            <w:tcW w:w="808"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Visitor Economy</w:t>
            </w:r>
          </w:p>
        </w:tc>
        <w:tc>
          <w:tcPr>
            <w:tcW w:w="677"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 xml:space="preserve">  Renewables</w:t>
            </w:r>
            <w:r>
              <w:rPr>
                <w:rFonts w:eastAsia="Times New Roman" w:cstheme="minorHAnsi"/>
                <w:b/>
                <w:color w:val="FFFFFF" w:themeColor="background1"/>
                <w:lang w:eastAsia="en-GB"/>
              </w:rPr>
              <w:t>*</w:t>
            </w:r>
          </w:p>
        </w:tc>
        <w:tc>
          <w:tcPr>
            <w:tcW w:w="822"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Ports &amp; Logistics</w:t>
            </w:r>
            <w:r>
              <w:rPr>
                <w:rFonts w:eastAsia="Times New Roman" w:cstheme="minorHAnsi"/>
                <w:b/>
                <w:color w:val="FFFFFF" w:themeColor="background1"/>
                <w:lang w:eastAsia="en-GB"/>
              </w:rPr>
              <w:t>*</w:t>
            </w:r>
          </w:p>
        </w:tc>
        <w:tc>
          <w:tcPr>
            <w:tcW w:w="851" w:type="dxa"/>
            <w:shd w:val="clear" w:color="auto" w:fill="73A5D8" w:themeFill="accent6"/>
            <w:noWrap/>
            <w:textDirection w:val="tbRl"/>
            <w:vAlign w:val="center"/>
            <w:hideMark/>
          </w:tcPr>
          <w:p w:rsidR="006A3374" w:rsidRPr="0064087B" w:rsidRDefault="006A3374" w:rsidP="006A3374">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GB"/>
              </w:rPr>
            </w:pPr>
            <w:r w:rsidRPr="0064087B">
              <w:rPr>
                <w:rFonts w:eastAsia="Times New Roman" w:cstheme="minorHAnsi"/>
                <w:b/>
                <w:color w:val="FFFFFF" w:themeColor="background1"/>
                <w:lang w:eastAsia="en-GB"/>
              </w:rPr>
              <w:t>Health &amp; Care</w:t>
            </w:r>
          </w:p>
        </w:tc>
      </w:tr>
      <w:tr w:rsidR="006A3374" w:rsidRPr="0061781D"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rsidR="006A3374" w:rsidRPr="0061781D" w:rsidRDefault="006A3374" w:rsidP="006A3374">
            <w:pPr>
              <w:spacing w:before="40" w:after="40"/>
              <w:jc w:val="center"/>
              <w:rPr>
                <w:rFonts w:eastAsia="Times New Roman" w:cstheme="minorHAnsi"/>
                <w:b w:val="0"/>
                <w:i/>
                <w:color w:val="000000"/>
                <w:sz w:val="18"/>
                <w:szCs w:val="18"/>
                <w:lang w:eastAsia="en-GB"/>
              </w:rPr>
            </w:pPr>
          </w:p>
        </w:tc>
        <w:tc>
          <w:tcPr>
            <w:tcW w:w="1434"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1515</w:t>
            </w:r>
          </w:p>
        </w:tc>
        <w:tc>
          <w:tcPr>
            <w:tcW w:w="677" w:type="dxa"/>
            <w:tcBorders>
              <w:righ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1141</w:t>
            </w:r>
          </w:p>
        </w:tc>
        <w:tc>
          <w:tcPr>
            <w:tcW w:w="828" w:type="dxa"/>
            <w:tcBorders>
              <w:top w:val="single" w:sz="8" w:space="0" w:color="73A5D8" w:themeColor="accent6"/>
              <w:lef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172</w:t>
            </w:r>
          </w:p>
        </w:tc>
        <w:tc>
          <w:tcPr>
            <w:tcW w:w="790"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85</w:t>
            </w:r>
          </w:p>
        </w:tc>
        <w:tc>
          <w:tcPr>
            <w:tcW w:w="808" w:type="dxa"/>
            <w:tcBorders>
              <w:righ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169</w:t>
            </w:r>
          </w:p>
        </w:tc>
        <w:tc>
          <w:tcPr>
            <w:tcW w:w="677" w:type="dxa"/>
            <w:tcBorders>
              <w:top w:val="single" w:sz="8" w:space="0" w:color="73A5D8" w:themeColor="accent6"/>
              <w:left w:val="single" w:sz="8" w:space="0" w:color="73A5D8" w:themeColor="accent6"/>
            </w:tcBorders>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6</w:t>
            </w:r>
          </w:p>
        </w:tc>
        <w:tc>
          <w:tcPr>
            <w:tcW w:w="822"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30</w:t>
            </w:r>
          </w:p>
        </w:tc>
        <w:tc>
          <w:tcPr>
            <w:tcW w:w="851" w:type="dxa"/>
            <w:noWrap/>
            <w:vAlign w:val="center"/>
            <w:hideMark/>
          </w:tcPr>
          <w:p w:rsidR="006A3374" w:rsidRPr="0064087B" w:rsidRDefault="006A3374" w:rsidP="006A337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8"/>
                <w:szCs w:val="20"/>
                <w:lang w:eastAsia="en-GB"/>
              </w:rPr>
            </w:pPr>
            <w:r w:rsidRPr="0064087B">
              <w:rPr>
                <w:rFonts w:eastAsia="Times New Roman" w:cstheme="minorHAnsi"/>
                <w:i/>
                <w:color w:val="000000"/>
                <w:sz w:val="18"/>
                <w:szCs w:val="20"/>
                <w:lang w:eastAsia="en-GB"/>
              </w:rPr>
              <w:t>126</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0" w:type="dxa"/>
            <w:gridSpan w:val="9"/>
            <w:noWrap/>
            <w:vAlign w:val="center"/>
            <w:hideMark/>
          </w:tcPr>
          <w:p w:rsidR="006A3374" w:rsidRPr="006A3374" w:rsidRDefault="006A3374" w:rsidP="006A3374">
            <w:pPr>
              <w:spacing w:before="40" w:after="40"/>
              <w:rPr>
                <w:rFonts w:eastAsia="Times New Roman" w:cstheme="minorHAnsi"/>
                <w:color w:val="000000"/>
                <w:lang w:eastAsia="en-GB"/>
              </w:rPr>
            </w:pPr>
            <w:r w:rsidRPr="006A3374">
              <w:rPr>
                <w:rFonts w:ascii="Arial" w:hAnsi="Arial" w:cs="Arial"/>
                <w:color w:val="000000"/>
                <w:sz w:val="20"/>
              </w:rPr>
              <w:t>Agreement with statements about broadband</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Universal access to superfast broadband</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93</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92</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90</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91</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94</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80</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87</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92</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Having access to superfast broadband is important for my business</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86</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87</w:t>
            </w:r>
          </w:p>
        </w:tc>
        <w:tc>
          <w:tcPr>
            <w:tcW w:w="828" w:type="dxa"/>
            <w:tcBorders>
              <w:left w:val="single" w:sz="8" w:space="0" w:color="73A5D8" w:themeColor="accent6"/>
            </w:tcBorders>
            <w:noWrap/>
            <w:vAlign w:val="center"/>
            <w:hideMark/>
          </w:tcPr>
          <w:p w:rsidR="006A3374" w:rsidRPr="009E061D"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9E061D">
              <w:rPr>
                <w:rFonts w:cstheme="minorHAnsi"/>
                <w:i/>
                <w:color w:val="000000"/>
              </w:rPr>
              <w:t>79</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84</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87</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80</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91</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90</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Access to broadband for home</w:t>
            </w:r>
            <w:r w:rsidR="00E3671E">
              <w:rPr>
                <w:rFonts w:ascii="Arial" w:hAnsi="Arial" w:cs="Arial"/>
                <w:b w:val="0"/>
                <w:color w:val="000000"/>
                <w:sz w:val="20"/>
              </w:rPr>
              <w:t>-</w:t>
            </w:r>
            <w:r w:rsidRPr="006A3374">
              <w:rPr>
                <w:rFonts w:ascii="Arial" w:hAnsi="Arial" w:cs="Arial"/>
                <w:b w:val="0"/>
                <w:color w:val="000000"/>
                <w:sz w:val="20"/>
              </w:rPr>
              <w:t>working is important for my business</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67</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67</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61</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65</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66</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80</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76</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64</w:t>
            </w:r>
          </w:p>
        </w:tc>
      </w:tr>
      <w:tr w:rsidR="006A3374" w:rsidRPr="0064087B"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Reliable and widely available mobile connections for employees while out on the road in Greater Lincolnshire are important for my business</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77</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77</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73</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77</w:t>
            </w:r>
          </w:p>
        </w:tc>
        <w:tc>
          <w:tcPr>
            <w:tcW w:w="808" w:type="dxa"/>
            <w:tcBorders>
              <w:right w:val="single" w:sz="8" w:space="0" w:color="73A5D8" w:themeColor="accent6"/>
            </w:tcBorders>
            <w:noWrap/>
            <w:vAlign w:val="center"/>
            <w:hideMark/>
          </w:tcPr>
          <w:p w:rsidR="006A3374" w:rsidRPr="009E061D"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9E061D">
              <w:rPr>
                <w:rFonts w:cstheme="minorHAnsi"/>
                <w:i/>
                <w:color w:val="000000"/>
              </w:rPr>
              <w:t>67</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100</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89</w:t>
            </w:r>
          </w:p>
        </w:tc>
        <w:tc>
          <w:tcPr>
            <w:tcW w:w="851" w:type="dxa"/>
            <w:noWrap/>
            <w:vAlign w:val="center"/>
            <w:hideMark/>
          </w:tcPr>
          <w:p w:rsidR="006A3374" w:rsidRPr="009E061D"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i/>
                <w:color w:val="000000"/>
              </w:rPr>
            </w:pPr>
            <w:r w:rsidRPr="009E061D">
              <w:rPr>
                <w:rFonts w:cstheme="minorHAnsi"/>
                <w:i/>
                <w:color w:val="000000"/>
              </w:rPr>
              <w:t>64</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Social media (e.g. Twitter and Facebook) is an important tool for my business</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54</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54</w:t>
            </w:r>
          </w:p>
        </w:tc>
        <w:tc>
          <w:tcPr>
            <w:tcW w:w="828" w:type="dxa"/>
            <w:tcBorders>
              <w:left w:val="single" w:sz="8" w:space="0" w:color="73A5D8" w:themeColor="accent6"/>
            </w:tcBorders>
            <w:noWrap/>
            <w:vAlign w:val="center"/>
            <w:hideMark/>
          </w:tcPr>
          <w:p w:rsidR="006A3374" w:rsidRPr="009E06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9E061D">
              <w:rPr>
                <w:rFonts w:cstheme="minorHAnsi"/>
                <w:i/>
                <w:color w:val="000000"/>
              </w:rPr>
              <w:t>44</w:t>
            </w:r>
          </w:p>
        </w:tc>
        <w:tc>
          <w:tcPr>
            <w:tcW w:w="790" w:type="dxa"/>
            <w:noWrap/>
            <w:vAlign w:val="center"/>
            <w:hideMark/>
          </w:tcPr>
          <w:p w:rsidR="006A3374" w:rsidRPr="009E06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i/>
                <w:color w:val="000000"/>
              </w:rPr>
            </w:pPr>
            <w:r w:rsidRPr="009E061D">
              <w:rPr>
                <w:rFonts w:cstheme="minorHAnsi"/>
                <w:b/>
                <w:i/>
                <w:color w:val="000000"/>
              </w:rPr>
              <w:t>38</w:t>
            </w:r>
          </w:p>
        </w:tc>
        <w:tc>
          <w:tcPr>
            <w:tcW w:w="808" w:type="dxa"/>
            <w:tcBorders>
              <w:right w:val="single" w:sz="8" w:space="0" w:color="73A5D8" w:themeColor="accent6"/>
            </w:tcBorders>
            <w:noWrap/>
            <w:vAlign w:val="center"/>
            <w:hideMark/>
          </w:tcPr>
          <w:p w:rsidR="006A3374" w:rsidRPr="009E06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9E061D">
              <w:rPr>
                <w:rFonts w:cstheme="minorHAnsi"/>
                <w:b/>
                <w:color w:val="000000"/>
              </w:rPr>
              <w:t>71</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80</w:t>
            </w:r>
          </w:p>
        </w:tc>
        <w:tc>
          <w:tcPr>
            <w:tcW w:w="822" w:type="dxa"/>
            <w:noWrap/>
            <w:vAlign w:val="center"/>
            <w:hideMark/>
          </w:tcPr>
          <w:p w:rsidR="006A3374" w:rsidRPr="009E061D"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9E061D">
              <w:rPr>
                <w:rFonts w:cstheme="minorHAnsi"/>
                <w:i/>
                <w:color w:val="000000"/>
              </w:rPr>
              <w:t>36</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47</w:t>
            </w:r>
          </w:p>
        </w:tc>
      </w:tr>
      <w:tr w:rsidR="006A3374" w:rsidRPr="00F34AA3" w:rsidTr="006A33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Any of these</w:t>
            </w:r>
          </w:p>
        </w:tc>
        <w:tc>
          <w:tcPr>
            <w:tcW w:w="1434"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98</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97</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97</w:t>
            </w:r>
          </w:p>
        </w:tc>
        <w:tc>
          <w:tcPr>
            <w:tcW w:w="790"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98</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97</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100</w:t>
            </w:r>
          </w:p>
        </w:tc>
        <w:tc>
          <w:tcPr>
            <w:tcW w:w="822"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96</w:t>
            </w:r>
          </w:p>
        </w:tc>
        <w:tc>
          <w:tcPr>
            <w:tcW w:w="851" w:type="dxa"/>
            <w:noWrap/>
            <w:vAlign w:val="center"/>
            <w:hideMark/>
          </w:tcPr>
          <w:p w:rsidR="006A3374" w:rsidRPr="006A3374" w:rsidRDefault="006A3374" w:rsidP="006A3374">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A3374">
              <w:rPr>
                <w:rFonts w:cstheme="minorHAnsi"/>
                <w:color w:val="000000"/>
              </w:rPr>
              <w:t>97</w:t>
            </w:r>
          </w:p>
        </w:tc>
      </w:tr>
      <w:tr w:rsidR="006A3374" w:rsidRPr="0064087B" w:rsidTr="006A3374">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rsidR="006A3374" w:rsidRPr="006A3374" w:rsidRDefault="006A3374" w:rsidP="006A3374">
            <w:pPr>
              <w:spacing w:before="40" w:after="40"/>
              <w:rPr>
                <w:rFonts w:ascii="Arial" w:hAnsi="Arial" w:cs="Arial"/>
                <w:b w:val="0"/>
                <w:color w:val="000000"/>
                <w:sz w:val="20"/>
              </w:rPr>
            </w:pPr>
            <w:r w:rsidRPr="006A3374">
              <w:rPr>
                <w:rFonts w:ascii="Arial" w:hAnsi="Arial" w:cs="Arial"/>
                <w:b w:val="0"/>
                <w:color w:val="000000"/>
                <w:sz w:val="20"/>
              </w:rPr>
              <w:t>None of these</w:t>
            </w:r>
          </w:p>
        </w:tc>
        <w:tc>
          <w:tcPr>
            <w:tcW w:w="1434"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w:t>
            </w:r>
          </w:p>
        </w:tc>
        <w:tc>
          <w:tcPr>
            <w:tcW w:w="677"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w:t>
            </w:r>
          </w:p>
        </w:tc>
        <w:tc>
          <w:tcPr>
            <w:tcW w:w="828"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w:t>
            </w:r>
          </w:p>
        </w:tc>
        <w:tc>
          <w:tcPr>
            <w:tcW w:w="790"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2</w:t>
            </w:r>
          </w:p>
        </w:tc>
        <w:tc>
          <w:tcPr>
            <w:tcW w:w="808" w:type="dxa"/>
            <w:tcBorders>
              <w:righ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w:t>
            </w:r>
          </w:p>
        </w:tc>
        <w:tc>
          <w:tcPr>
            <w:tcW w:w="677" w:type="dxa"/>
            <w:tcBorders>
              <w:left w:val="single" w:sz="8" w:space="0" w:color="73A5D8" w:themeColor="accent6"/>
            </w:tcBorders>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0</w:t>
            </w:r>
          </w:p>
        </w:tc>
        <w:tc>
          <w:tcPr>
            <w:tcW w:w="822"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4</w:t>
            </w:r>
          </w:p>
        </w:tc>
        <w:tc>
          <w:tcPr>
            <w:tcW w:w="851" w:type="dxa"/>
            <w:noWrap/>
            <w:vAlign w:val="center"/>
            <w:hideMark/>
          </w:tcPr>
          <w:p w:rsidR="006A3374" w:rsidRPr="006A3374" w:rsidRDefault="006A3374" w:rsidP="006A3374">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A3374">
              <w:rPr>
                <w:rFonts w:cstheme="minorHAnsi"/>
                <w:color w:val="000000"/>
              </w:rPr>
              <w:t>3</w:t>
            </w:r>
          </w:p>
        </w:tc>
      </w:tr>
    </w:tbl>
    <w:p w:rsidR="00B71C1B" w:rsidRDefault="00B71C1B" w:rsidP="00B71C1B">
      <w:pPr>
        <w:pStyle w:val="BodyText"/>
        <w:rPr>
          <w:szCs w:val="28"/>
        </w:rPr>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6A3374" w:rsidRPr="00651896" w:rsidRDefault="006A3374" w:rsidP="00651896">
      <w:pPr>
        <w:pStyle w:val="BodyText"/>
      </w:pPr>
    </w:p>
    <w:p w:rsidR="00310C0B" w:rsidRDefault="00310C0B" w:rsidP="00310C0B">
      <w:pPr>
        <w:pStyle w:val="Heading1"/>
      </w:pPr>
      <w:bookmarkStart w:id="83" w:name="_Toc394057574"/>
      <w:r>
        <w:t>Employer Profile</w:t>
      </w:r>
      <w:bookmarkEnd w:id="83"/>
    </w:p>
    <w:p w:rsidR="00310C0B" w:rsidRDefault="00310C0B" w:rsidP="00310C0B">
      <w:pPr>
        <w:pStyle w:val="BodyText"/>
      </w:pPr>
    </w:p>
    <w:p w:rsidR="007D28CF" w:rsidRPr="00310C0B" w:rsidRDefault="007D28CF" w:rsidP="00310C0B">
      <w:pPr>
        <w:pStyle w:val="BodyText"/>
      </w:pPr>
      <w:r>
        <w:t xml:space="preserve">The description of the </w:t>
      </w:r>
      <w:r w:rsidR="00983397">
        <w:t>sample</w:t>
      </w:r>
      <w:r>
        <w:t xml:space="preserve"> profile </w:t>
      </w:r>
      <w:r w:rsidR="00983397">
        <w:t>that follows reflects the employer profile across Greater Lincolnshire.  This is due to the application of weighting factors that have been used to adjust for deliberate over-sampling in some sectors and in larger employer size bands.  Over-sampling compared with representation within the employer population enables more robust analysis of these sub-samples that would otherwise not be possible.</w:t>
      </w:r>
    </w:p>
    <w:p w:rsidR="00310C0B" w:rsidRDefault="00310C0B" w:rsidP="00310C0B">
      <w:pPr>
        <w:pStyle w:val="Heading2"/>
      </w:pPr>
      <w:bookmarkStart w:id="84" w:name="_Toc394057575"/>
      <w:r>
        <w:t>Business size</w:t>
      </w:r>
      <w:bookmarkEnd w:id="84"/>
    </w:p>
    <w:p w:rsidR="00310C0B" w:rsidRDefault="007F53B5" w:rsidP="00310C0B">
      <w:pPr>
        <w:pStyle w:val="BodyText"/>
      </w:pPr>
      <w:r>
        <w:t>The majority of employers (73%) employ fewer than 10 staff at their site.  This included nearly half of all employers (47%) that employ fewer than 5 staff.</w:t>
      </w:r>
      <w:r w:rsidR="00895C76">
        <w:t xml:space="preserve">  In contrast, just two per cent of employers employ 100+ staff at their site.</w:t>
      </w:r>
    </w:p>
    <w:p w:rsidR="00895C76" w:rsidRDefault="00895C76" w:rsidP="00895C76">
      <w:pPr>
        <w:pStyle w:val="Caption"/>
      </w:pPr>
      <w:r>
        <w:t xml:space="preserve">Figure 11.1:  Business size (all employers) </w:t>
      </w:r>
    </w:p>
    <w:p w:rsidR="00895C76" w:rsidRDefault="00895C76" w:rsidP="00895C76">
      <w:pPr>
        <w:pStyle w:val="Caption"/>
      </w:pPr>
      <w:r w:rsidRPr="00895C76">
        <w:rPr>
          <w:noProof/>
          <w:lang w:eastAsia="en-GB"/>
        </w:rPr>
        <w:drawing>
          <wp:inline distT="0" distB="0" distL="0" distR="0">
            <wp:extent cx="6067425" cy="3295650"/>
            <wp:effectExtent l="19050" t="0" r="0" b="0"/>
            <wp:docPr id="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5C76" w:rsidRDefault="00895C76" w:rsidP="00895C76">
      <w:pPr>
        <w:pStyle w:val="BodyText"/>
        <w:rPr>
          <w:rFonts w:cs="Arial"/>
          <w:sz w:val="18"/>
        </w:rPr>
      </w:pPr>
      <w:r>
        <w:rPr>
          <w:rFonts w:cs="Arial"/>
          <w:sz w:val="18"/>
        </w:rPr>
        <w:t>Unweighted sample base =1515</w:t>
      </w:r>
    </w:p>
    <w:p w:rsidR="00895C76" w:rsidRDefault="00895C76" w:rsidP="00895C76">
      <w:pPr>
        <w:pStyle w:val="BodyText"/>
        <w:rPr>
          <w:rFonts w:cs="Arial"/>
          <w:sz w:val="18"/>
        </w:rPr>
      </w:pPr>
      <w:r>
        <w:rPr>
          <w:rFonts w:cs="Arial"/>
          <w:sz w:val="18"/>
        </w:rPr>
        <w:t>QA1.  Including you and any working proprietors, how many people are on the payroll at this location?</w:t>
      </w:r>
    </w:p>
    <w:p w:rsidR="00895C76" w:rsidRDefault="00895C76" w:rsidP="00310C0B">
      <w:pPr>
        <w:pStyle w:val="BodyText"/>
      </w:pPr>
    </w:p>
    <w:p w:rsidR="00651896" w:rsidRDefault="007F0F83" w:rsidP="00310C0B">
      <w:pPr>
        <w:pStyle w:val="BodyText"/>
      </w:pPr>
      <w:r>
        <w:t>The following figure highlights variances in business size by sector.</w:t>
      </w:r>
      <w:r w:rsidR="00C42F91">
        <w:t xml:space="preserve">  There are a particularly high proportion of employers with fewer than 10 staff within agriculture/fishing (93%) and construction (84%), while only 38% of employers in public administration/education/health have fewer than 10 staff at that site. </w:t>
      </w:r>
    </w:p>
    <w:p w:rsidR="00C42F91" w:rsidRDefault="00C42F91" w:rsidP="00310C0B">
      <w:pPr>
        <w:pStyle w:val="BodyText"/>
      </w:pPr>
    </w:p>
    <w:p w:rsidR="007F0F83" w:rsidRDefault="007F0F83" w:rsidP="00310C0B">
      <w:pPr>
        <w:pStyle w:val="BodyText"/>
      </w:pPr>
    </w:p>
    <w:p w:rsidR="007F0F83" w:rsidRDefault="007F0F83" w:rsidP="007F0F83">
      <w:pPr>
        <w:pStyle w:val="Caption"/>
      </w:pPr>
      <w:r>
        <w:t xml:space="preserve">Figure 11.2:  Business size, by sector (all employers) </w:t>
      </w:r>
    </w:p>
    <w:p w:rsidR="007F0F83" w:rsidRDefault="007F0F83" w:rsidP="007F0F83">
      <w:pPr>
        <w:pStyle w:val="Caption"/>
      </w:pPr>
      <w:r w:rsidRPr="007F0F83">
        <w:rPr>
          <w:noProof/>
          <w:lang w:eastAsia="en-GB"/>
        </w:rPr>
        <w:drawing>
          <wp:inline distT="0" distB="0" distL="0" distR="0">
            <wp:extent cx="5876925" cy="4086225"/>
            <wp:effectExtent l="0" t="0" r="0" b="0"/>
            <wp:docPr id="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F0F83" w:rsidRDefault="007F0F83" w:rsidP="007F0F83">
      <w:pPr>
        <w:pStyle w:val="BodyText"/>
        <w:rPr>
          <w:rFonts w:cs="Arial"/>
          <w:sz w:val="18"/>
        </w:rPr>
      </w:pPr>
      <w:r>
        <w:rPr>
          <w:rFonts w:cs="Arial"/>
          <w:sz w:val="18"/>
        </w:rPr>
        <w:t>Unweighted sample bases in parentheses</w:t>
      </w:r>
    </w:p>
    <w:p w:rsidR="007F0F83" w:rsidRDefault="007F0F83" w:rsidP="007F0F83">
      <w:pPr>
        <w:pStyle w:val="BodyText"/>
        <w:rPr>
          <w:rFonts w:cs="Arial"/>
          <w:sz w:val="18"/>
        </w:rPr>
      </w:pPr>
      <w:r>
        <w:rPr>
          <w:rFonts w:cs="Arial"/>
          <w:sz w:val="18"/>
        </w:rPr>
        <w:t>QA1.  Including you and any working proprietors, how many people are on the payroll at this location?</w:t>
      </w:r>
    </w:p>
    <w:p w:rsidR="007F0F83" w:rsidRDefault="007F0F83" w:rsidP="00310C0B">
      <w:pPr>
        <w:pStyle w:val="BodyText"/>
      </w:pPr>
    </w:p>
    <w:p w:rsidR="00310C0B" w:rsidRDefault="00310C0B" w:rsidP="00310C0B">
      <w:pPr>
        <w:pStyle w:val="Heading2"/>
      </w:pPr>
      <w:bookmarkStart w:id="85" w:name="_Toc394057576"/>
      <w:r>
        <w:t>Industry sector</w:t>
      </w:r>
      <w:bookmarkEnd w:id="85"/>
    </w:p>
    <w:p w:rsidR="00310C0B" w:rsidRDefault="00C42F91" w:rsidP="00310C0B">
      <w:pPr>
        <w:pStyle w:val="BodyText"/>
      </w:pPr>
      <w:r>
        <w:t>The industry profile of employers across Greater Lincolnshire is summarised in the figure below.</w:t>
      </w:r>
    </w:p>
    <w:p w:rsidR="001952BE" w:rsidRDefault="001952BE" w:rsidP="00310C0B">
      <w:pPr>
        <w:pStyle w:val="BodyText"/>
      </w:pPr>
      <w:r>
        <w:t>Just over a third of employers operate within sector of distribution/hotels/restaurants (36%).  This sector also covers retail and wholesale, repair of motor vehicles etc.</w:t>
      </w:r>
      <w:r w:rsidR="00360389">
        <w:t xml:space="preserve">  The next biggest group of sectors is that of banking/finance/insurance (16%).  Overall, service companies account for </w:t>
      </w:r>
      <w:r w:rsidR="00A511B1">
        <w:t>81% of employers in the area; production/construction for 19%.</w:t>
      </w:r>
    </w:p>
    <w:p w:rsidR="00811C0A" w:rsidRDefault="00811C0A" w:rsidP="00310C0B">
      <w:pPr>
        <w:pStyle w:val="BodyText"/>
      </w:pPr>
    </w:p>
    <w:p w:rsidR="00C42F91" w:rsidRDefault="00C42F91" w:rsidP="00C42F91">
      <w:pPr>
        <w:pStyle w:val="Caption"/>
      </w:pPr>
      <w:r>
        <w:t xml:space="preserve">Figure 11.3:  Industry sector (all employers) </w:t>
      </w:r>
    </w:p>
    <w:p w:rsidR="00C42F91" w:rsidRDefault="001952BE" w:rsidP="00C42F91">
      <w:pPr>
        <w:pStyle w:val="Caption"/>
      </w:pPr>
      <w:r w:rsidRPr="001952BE">
        <w:rPr>
          <w:noProof/>
          <w:lang w:eastAsia="en-GB"/>
        </w:rPr>
        <w:drawing>
          <wp:inline distT="0" distB="0" distL="0" distR="0">
            <wp:extent cx="5876925" cy="4010025"/>
            <wp:effectExtent l="0" t="0" r="0" b="0"/>
            <wp:docPr id="4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42F91" w:rsidRDefault="00C42F91" w:rsidP="00C42F91">
      <w:pPr>
        <w:pStyle w:val="BodyText"/>
        <w:rPr>
          <w:rFonts w:cs="Arial"/>
          <w:sz w:val="18"/>
        </w:rPr>
      </w:pPr>
      <w:r>
        <w:rPr>
          <w:rFonts w:cs="Arial"/>
          <w:sz w:val="18"/>
        </w:rPr>
        <w:t>Unweighted sample base = 1515</w:t>
      </w:r>
    </w:p>
    <w:p w:rsidR="00C42F91" w:rsidRDefault="00C42F91" w:rsidP="00C42F91">
      <w:pPr>
        <w:pStyle w:val="BodyText"/>
        <w:rPr>
          <w:rFonts w:cs="Arial"/>
          <w:sz w:val="18"/>
        </w:rPr>
      </w:pPr>
      <w:r>
        <w:rPr>
          <w:rFonts w:cs="Arial"/>
          <w:sz w:val="18"/>
        </w:rPr>
        <w:t>QA3.  What is the main business activity that you undertake?  SIC 2007 (grouped)</w:t>
      </w:r>
    </w:p>
    <w:p w:rsidR="00C42F91" w:rsidRDefault="00C42F91" w:rsidP="00310C0B">
      <w:pPr>
        <w:pStyle w:val="BodyText"/>
      </w:pPr>
    </w:p>
    <w:p w:rsidR="00310C0B" w:rsidRDefault="00310C0B" w:rsidP="00310C0B">
      <w:pPr>
        <w:pStyle w:val="Heading2"/>
      </w:pPr>
      <w:bookmarkStart w:id="86" w:name="_Toc394057577"/>
      <w:r>
        <w:t>Number of sites</w:t>
      </w:r>
      <w:bookmarkEnd w:id="86"/>
    </w:p>
    <w:p w:rsidR="00310C0B" w:rsidRDefault="00811C0A" w:rsidP="00310C0B">
      <w:pPr>
        <w:pStyle w:val="BodyText"/>
      </w:pPr>
      <w:r>
        <w:t>Two-thirds of employers (66%) are single site organisations.  This proportion declines as business size increases.  Three in ten 100+ employers (30%) are headquarters sites, compared with just 7% of all employers on average.</w:t>
      </w:r>
      <w:r w:rsidR="00686D2D">
        <w:t xml:space="preserve">  Three-quarters of 100+ employers (76%) are part of a multi-site organisation, compared with just 26% of 2-9 employers.</w:t>
      </w:r>
    </w:p>
    <w:p w:rsidR="00686D2D" w:rsidRDefault="00686D2D" w:rsidP="00310C0B">
      <w:pPr>
        <w:pStyle w:val="BodyText"/>
      </w:pPr>
      <w:r>
        <w:t xml:space="preserve">Single site establishments are more prevalent than average in the manufacturing (82%) and construction (85%) sectors.  Employers that are part of multi-site organisations are more prevalent than average within the distribution/hotels/restaurants sector (43%).   </w:t>
      </w:r>
    </w:p>
    <w:p w:rsidR="00C10B36" w:rsidRDefault="00C10B36" w:rsidP="00C10B36">
      <w:pPr>
        <w:pStyle w:val="Caption"/>
      </w:pPr>
      <w:r>
        <w:t>Figure 11.4:  No. of sites</w:t>
      </w:r>
      <w:r w:rsidR="003E3C16">
        <w:t>, by size and sector</w:t>
      </w:r>
      <w:r>
        <w:t xml:space="preserve"> (all employers) </w:t>
      </w:r>
    </w:p>
    <w:p w:rsidR="00C10B36" w:rsidRDefault="003E3C16" w:rsidP="00C10B36">
      <w:pPr>
        <w:pStyle w:val="Caption"/>
      </w:pPr>
      <w:r w:rsidRPr="003E3C16">
        <w:rPr>
          <w:noProof/>
          <w:lang w:eastAsia="en-GB"/>
        </w:rPr>
        <w:drawing>
          <wp:inline distT="0" distB="0" distL="0" distR="0">
            <wp:extent cx="5810250" cy="5486400"/>
            <wp:effectExtent l="0" t="0" r="0" b="0"/>
            <wp:docPr id="5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10B36" w:rsidRDefault="00C10B36" w:rsidP="00C10B36">
      <w:pPr>
        <w:pStyle w:val="BodyText"/>
        <w:rPr>
          <w:rFonts w:cs="Arial"/>
          <w:sz w:val="18"/>
        </w:rPr>
      </w:pPr>
      <w:r>
        <w:rPr>
          <w:rFonts w:cs="Arial"/>
          <w:sz w:val="18"/>
        </w:rPr>
        <w:t>Unweighted sample bases in parentheses</w:t>
      </w:r>
    </w:p>
    <w:p w:rsidR="00C10B36" w:rsidRDefault="00C10B36" w:rsidP="00C10B36">
      <w:pPr>
        <w:pStyle w:val="BodyText"/>
        <w:rPr>
          <w:rFonts w:cs="Arial"/>
          <w:sz w:val="18"/>
        </w:rPr>
      </w:pPr>
      <w:r>
        <w:rPr>
          <w:rFonts w:cs="Arial"/>
          <w:sz w:val="18"/>
        </w:rPr>
        <w:t>QA4.  Does the business just operate from this site or does it have other sites?</w:t>
      </w:r>
    </w:p>
    <w:p w:rsidR="00C10B36" w:rsidRDefault="003E3C16" w:rsidP="00310C0B">
      <w:pPr>
        <w:pStyle w:val="BodyText"/>
      </w:pPr>
      <w:r w:rsidRPr="006E14C7">
        <w:rPr>
          <w:b/>
          <w:sz w:val="18"/>
        </w:rPr>
        <w:t>Bold font signifies a statistically significantly higher figure compared with the average minus the sub-group tested;</w:t>
      </w:r>
      <w:r w:rsidRPr="006E14C7">
        <w:rPr>
          <w:i/>
          <w:sz w:val="18"/>
        </w:rPr>
        <w:t xml:space="preserve"> italics signifies a statistically significantly lower figure than average minus the sub-group tested</w:t>
      </w:r>
    </w:p>
    <w:p w:rsidR="00811C0A" w:rsidRDefault="00811C0A" w:rsidP="00310C0B">
      <w:pPr>
        <w:pStyle w:val="BodyText"/>
      </w:pPr>
    </w:p>
    <w:p w:rsidR="00310C0B" w:rsidRDefault="00310C0B" w:rsidP="00310C0B">
      <w:pPr>
        <w:pStyle w:val="Heading2"/>
      </w:pPr>
      <w:bookmarkStart w:id="87" w:name="_Toc394057578"/>
      <w:r>
        <w:t>Age of establishment</w:t>
      </w:r>
      <w:bookmarkEnd w:id="87"/>
    </w:p>
    <w:p w:rsidR="00310C0B" w:rsidRDefault="00B71B7D" w:rsidP="00310C0B">
      <w:pPr>
        <w:pStyle w:val="BodyText"/>
      </w:pPr>
      <w:r>
        <w:t>The majority of employers (69%) have been trading for in excess of 10 years.  Just two per cent have been trading for less than a year and a further 12% for between 1 and 5 years.</w:t>
      </w:r>
    </w:p>
    <w:p w:rsidR="009A15CF" w:rsidRDefault="009A15CF" w:rsidP="009A15CF">
      <w:pPr>
        <w:pStyle w:val="Caption"/>
      </w:pPr>
      <w:r>
        <w:t xml:space="preserve">Figure 11.5:  Number of years trading (all employers) </w:t>
      </w:r>
    </w:p>
    <w:p w:rsidR="009A15CF" w:rsidRDefault="006F75ED" w:rsidP="009A15CF">
      <w:pPr>
        <w:pStyle w:val="Caption"/>
      </w:pPr>
      <w:r w:rsidRPr="006F75ED">
        <w:rPr>
          <w:noProof/>
          <w:lang w:eastAsia="en-GB"/>
        </w:rPr>
        <w:drawing>
          <wp:inline distT="0" distB="0" distL="0" distR="0">
            <wp:extent cx="5876925" cy="3171825"/>
            <wp:effectExtent l="19050" t="0" r="0" b="0"/>
            <wp:docPr id="5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A15CF" w:rsidRDefault="009A15CF" w:rsidP="009A15CF">
      <w:pPr>
        <w:pStyle w:val="BodyText"/>
        <w:rPr>
          <w:rFonts w:cs="Arial"/>
          <w:sz w:val="18"/>
        </w:rPr>
      </w:pPr>
      <w:r>
        <w:rPr>
          <w:rFonts w:cs="Arial"/>
          <w:sz w:val="18"/>
        </w:rPr>
        <w:t>Unweighted sample base = 1515</w:t>
      </w:r>
    </w:p>
    <w:p w:rsidR="009A15CF" w:rsidRDefault="009A15CF" w:rsidP="009A15CF">
      <w:pPr>
        <w:pStyle w:val="BodyText"/>
        <w:rPr>
          <w:rFonts w:cs="Arial"/>
          <w:sz w:val="18"/>
        </w:rPr>
      </w:pPr>
      <w:r>
        <w:rPr>
          <w:rFonts w:cs="Arial"/>
          <w:sz w:val="18"/>
        </w:rPr>
        <w:t>QA5.  For how long has the business been trading</w:t>
      </w:r>
    </w:p>
    <w:p w:rsidR="00651896" w:rsidRPr="00310C0B" w:rsidRDefault="00651896" w:rsidP="00310C0B">
      <w:pPr>
        <w:pStyle w:val="BodyText"/>
      </w:pPr>
    </w:p>
    <w:p w:rsidR="00651896" w:rsidRDefault="00EB120D" w:rsidP="00EB120D">
      <w:pPr>
        <w:pStyle w:val="Heading2"/>
      </w:pPr>
      <w:bookmarkStart w:id="88" w:name="_Toc394057579"/>
      <w:r>
        <w:t>Turnover</w:t>
      </w:r>
      <w:bookmarkEnd w:id="88"/>
    </w:p>
    <w:p w:rsidR="00651896" w:rsidRDefault="0041607F" w:rsidP="00651896">
      <w:r>
        <w:t xml:space="preserve">Seven in ten </w:t>
      </w:r>
      <w:r w:rsidR="00E3671E">
        <w:t>employers</w:t>
      </w:r>
      <w:r>
        <w:t xml:space="preserve"> (70%) provided an answer when they were asked to provide an indication of their business turnover in the last 12 months.</w:t>
      </w:r>
    </w:p>
    <w:p w:rsidR="0041607F" w:rsidRDefault="0041607F" w:rsidP="00651896">
      <w:r>
        <w:t>Thirty per cent indicated that their turnover was below the VAT threshold (then £73,000).  In aggregate, 70% reported a turnover of less than £250,000.</w:t>
      </w:r>
    </w:p>
    <w:p w:rsidR="00F86BC1" w:rsidRDefault="00F86BC1" w:rsidP="00F86BC1">
      <w:pPr>
        <w:pStyle w:val="Caption"/>
      </w:pPr>
      <w:r>
        <w:t xml:space="preserve">Figure 11.6:  Establishment turnover in the last 12 months (private sector employers - where provided a response) </w:t>
      </w:r>
    </w:p>
    <w:p w:rsidR="00F86BC1" w:rsidRDefault="00F86BC1" w:rsidP="00F86BC1">
      <w:pPr>
        <w:pStyle w:val="Caption"/>
      </w:pPr>
      <w:r w:rsidRPr="00F86BC1">
        <w:rPr>
          <w:noProof/>
          <w:lang w:eastAsia="en-GB"/>
        </w:rPr>
        <w:drawing>
          <wp:inline distT="0" distB="0" distL="0" distR="0">
            <wp:extent cx="5810250" cy="3781425"/>
            <wp:effectExtent l="0" t="0" r="0" b="0"/>
            <wp:docPr id="5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86BC1" w:rsidRDefault="00F86BC1" w:rsidP="00F86BC1">
      <w:pPr>
        <w:pStyle w:val="BodyText"/>
        <w:rPr>
          <w:rFonts w:cs="Arial"/>
          <w:sz w:val="18"/>
        </w:rPr>
      </w:pPr>
      <w:r>
        <w:rPr>
          <w:rFonts w:cs="Arial"/>
          <w:sz w:val="18"/>
        </w:rPr>
        <w:t>Unweighted sample base = 656           *denotes less than 0.5%</w:t>
      </w:r>
    </w:p>
    <w:p w:rsidR="00F86BC1" w:rsidRDefault="00F86BC1" w:rsidP="00F86BC1">
      <w:pPr>
        <w:pStyle w:val="BodyText"/>
        <w:rPr>
          <w:rFonts w:cs="Arial"/>
          <w:sz w:val="18"/>
        </w:rPr>
      </w:pPr>
      <w:r>
        <w:rPr>
          <w:rFonts w:cs="Arial"/>
          <w:sz w:val="18"/>
        </w:rPr>
        <w:t>QG1.  Can you please tell me the approximate turnover of your business in the past 12 months at that site?</w:t>
      </w:r>
    </w:p>
    <w:p w:rsidR="0041607F" w:rsidRDefault="0041607F" w:rsidP="00651896"/>
    <w:p w:rsidR="00CC3286" w:rsidRDefault="00CC3286" w:rsidP="00651896">
      <w:pPr>
        <w:pStyle w:val="Heading2"/>
        <w:numPr>
          <w:ilvl w:val="0"/>
          <w:numId w:val="0"/>
        </w:numPr>
        <w:ind w:left="576"/>
      </w:pPr>
      <w:r>
        <w:br w:type="page"/>
      </w:r>
    </w:p>
    <w:p w:rsidR="00565D83" w:rsidRDefault="00CC3286" w:rsidP="00F9622A">
      <w:pPr>
        <w:pStyle w:val="Heading1"/>
        <w:numPr>
          <w:ilvl w:val="0"/>
          <w:numId w:val="0"/>
        </w:numPr>
      </w:pPr>
      <w:bookmarkStart w:id="89" w:name="_Toc394057580"/>
      <w:r>
        <w:t>Appendix</w:t>
      </w:r>
      <w:r w:rsidR="00A63C41">
        <w:t>: Statement of Terms</w:t>
      </w:r>
      <w:bookmarkEnd w:id="89"/>
    </w:p>
    <w:p w:rsidR="00F9622A" w:rsidRPr="00100B2C" w:rsidRDefault="00F9622A" w:rsidP="00F9622A">
      <w:pPr>
        <w:pStyle w:val="BodyText"/>
        <w:rPr>
          <w:b/>
        </w:rPr>
      </w:pPr>
      <w:r w:rsidRPr="00100B2C">
        <w:rPr>
          <w:b/>
        </w:rPr>
        <w:t>Compliance with International Standards</w:t>
      </w:r>
    </w:p>
    <w:p w:rsidR="00F9622A" w:rsidRPr="00100B2C" w:rsidRDefault="00F9622A" w:rsidP="00F9622A">
      <w:pPr>
        <w:pStyle w:val="BodyText"/>
        <w:rPr>
          <w:sz w:val="20"/>
          <w:szCs w:val="20"/>
        </w:rPr>
      </w:pPr>
      <w:r w:rsidRPr="00100B2C">
        <w:rPr>
          <w:sz w:val="20"/>
          <w:szCs w:val="20"/>
        </w:rPr>
        <w:t>BMG complies with the International Standard for Quality Management Systems requirements (ISO 9001:2008) and the International Standard for Market, opinion and social research service requirements (ISO 20252:2012).</w:t>
      </w:r>
    </w:p>
    <w:p w:rsidR="00F9622A" w:rsidRPr="00100B2C" w:rsidRDefault="00F9622A" w:rsidP="00F9622A">
      <w:pPr>
        <w:pStyle w:val="BodyText"/>
        <w:rPr>
          <w:b/>
        </w:rPr>
      </w:pPr>
      <w:r w:rsidRPr="00100B2C">
        <w:rPr>
          <w:b/>
        </w:rPr>
        <w:t>Interpretation and publication of results</w:t>
      </w:r>
    </w:p>
    <w:p w:rsidR="00F9622A" w:rsidRPr="00100B2C" w:rsidRDefault="00F9622A" w:rsidP="00F9622A">
      <w:pPr>
        <w:pStyle w:val="BodyText"/>
        <w:rPr>
          <w:sz w:val="20"/>
          <w:szCs w:val="20"/>
        </w:rPr>
      </w:pPr>
      <w:r w:rsidRPr="00100B2C">
        <w:rPr>
          <w:sz w:val="20"/>
          <w:szCs w:val="20"/>
        </w:rPr>
        <w:t>The interpretation of the results as reported in this document pertain to the research problem and are supported by the empirical findings of this research project and, where applicable, by other data. These interpretations and recommendations are based on empirical findings and are distinguishable from personal views and opinions.</w:t>
      </w:r>
    </w:p>
    <w:p w:rsidR="00F9622A" w:rsidRPr="00100B2C" w:rsidRDefault="00F9622A" w:rsidP="00F9622A">
      <w:pPr>
        <w:pStyle w:val="BodyText"/>
        <w:rPr>
          <w:sz w:val="20"/>
          <w:szCs w:val="20"/>
        </w:rPr>
      </w:pPr>
      <w:r w:rsidRPr="00100B2C">
        <w:rPr>
          <w:sz w:val="20"/>
          <w:szCs w:val="20"/>
        </w:rPr>
        <w:t xml:space="preserve">BMG will not be publish any part of these results without the written and informed consent of the client. </w:t>
      </w:r>
    </w:p>
    <w:p w:rsidR="00F9622A" w:rsidRPr="00100B2C" w:rsidRDefault="00F9622A" w:rsidP="00F9622A">
      <w:pPr>
        <w:pStyle w:val="BodyText"/>
        <w:rPr>
          <w:b/>
        </w:rPr>
      </w:pPr>
      <w:r w:rsidRPr="00100B2C">
        <w:rPr>
          <w:b/>
        </w:rPr>
        <w:t>Ethical practice</w:t>
      </w:r>
    </w:p>
    <w:p w:rsidR="00F9622A" w:rsidRPr="00100B2C" w:rsidRDefault="00F9622A" w:rsidP="00F9622A">
      <w:pPr>
        <w:pStyle w:val="BodyText"/>
        <w:rPr>
          <w:sz w:val="20"/>
          <w:szCs w:val="20"/>
        </w:rPr>
      </w:pPr>
      <w:r w:rsidRPr="00100B2C">
        <w:rPr>
          <w:sz w:val="20"/>
          <w:szCs w:val="20"/>
        </w:rPr>
        <w:t>BMG promotes ethical practice in research:  We conduct our work responsibly and in light of the legal and moral codes of society.</w:t>
      </w:r>
    </w:p>
    <w:p w:rsidR="00F9622A" w:rsidRPr="00100B2C" w:rsidRDefault="00F9622A" w:rsidP="00F9622A">
      <w:pPr>
        <w:pStyle w:val="BodyText"/>
        <w:rPr>
          <w:sz w:val="20"/>
          <w:szCs w:val="20"/>
        </w:rPr>
      </w:pPr>
      <w:r w:rsidRPr="00100B2C">
        <w:rPr>
          <w:sz w:val="20"/>
          <w:szCs w:val="20"/>
        </w:rPr>
        <w:t>We have a responsibility to maintain high scientific standards in the methods employed in the collection and dissemination of data, in the impartial assessment and dissemination of findings and in the maintenance of standards commensurate with professional integrity.</w:t>
      </w:r>
    </w:p>
    <w:p w:rsidR="00F9622A" w:rsidRDefault="00F9622A" w:rsidP="00F9622A">
      <w:pPr>
        <w:pStyle w:val="BodyText"/>
        <w:rPr>
          <w:sz w:val="20"/>
          <w:szCs w:val="20"/>
        </w:rPr>
      </w:pPr>
      <w:r w:rsidRPr="00100B2C">
        <w:rPr>
          <w:sz w:val="20"/>
          <w:szCs w:val="20"/>
        </w:rPr>
        <w:t>We recognise we have a duty of care to all those undertaking and participating in research and strive to protect subjects from undue harm arising as a consequence of their participation in research. This requires that subjects’ participation should be as fully informed as possible and no group should be disadvantaged by routinely being excluded from consideration. All adequate steps shall be taken by both agency and client to ensure that the identity of each respondent participating in the research is protected</w:t>
      </w:r>
      <w:r>
        <w:rPr>
          <w:sz w:val="20"/>
          <w:szCs w:val="20"/>
        </w:rPr>
        <w:t xml:space="preserve">. </w:t>
      </w:r>
    </w:p>
    <w:p w:rsidR="00B14B0E" w:rsidRPr="009A7F6C" w:rsidRDefault="00B14B0E" w:rsidP="009A7F6C">
      <w:pPr>
        <w:pStyle w:val="BodyText"/>
      </w:pPr>
    </w:p>
    <w:p w:rsidR="00594804" w:rsidRDefault="00594804">
      <w:pPr>
        <w:sectPr w:rsidR="00594804" w:rsidSect="00270C14">
          <w:footerReference w:type="default" r:id="rId62"/>
          <w:pgSz w:w="11907" w:h="16839" w:code="9"/>
          <w:pgMar w:top="1440" w:right="1440" w:bottom="1440" w:left="1440" w:header="708" w:footer="708" w:gutter="0"/>
          <w:pgNumType w:start="1"/>
          <w:cols w:space="708"/>
          <w:docGrid w:linePitch="360"/>
        </w:sectPr>
      </w:pPr>
    </w:p>
    <w:p w:rsidR="00594804" w:rsidRDefault="00CE29CD">
      <w:r>
        <w:rPr>
          <w:noProof/>
          <w:lang w:eastAsia="en-GB"/>
        </w:rPr>
        <w:pict>
          <v:rect id="Rectangle 4" o:spid="_x0000_s1039" style="position:absolute;margin-left:-76pt;margin-top:-1in;width:620.65pt;height:587.85pt;z-index:-25162956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" fillcolor="#0f5882" strokecolor="#457ab9">
            <v:shadow opacity="22936f" origin=",.5" offset="0,.63889mm"/>
            <v:textbox>
              <w:txbxContent>
                <w:p w:rsidR="00C07723" w:rsidRPr="005765EA" w:rsidRDefault="00C07723" w:rsidP="00544ECF">
                  <w:pPr>
                    <w:jc w:val="center"/>
                    <w:rPr>
                      <w:color w:val="0F5882"/>
                    </w:rPr>
                  </w:pPr>
                </w:p>
              </w:txbxContent>
            </v:textbox>
          </v:rect>
        </w:pict>
      </w:r>
    </w:p>
    <w:p w:rsidR="00C026CF" w:rsidRDefault="00C026CF" w:rsidP="00151F6E">
      <w:pPr>
        <w:pStyle w:val="BodyText"/>
      </w:pPr>
    </w:p>
    <w:p w:rsidR="00C026CF" w:rsidRPr="00C026CF" w:rsidRDefault="00C026CF" w:rsidP="00C026CF"/>
    <w:p w:rsidR="00C026CF" w:rsidRPr="00C026CF" w:rsidRDefault="00C026CF" w:rsidP="00C026CF"/>
    <w:p w:rsidR="00C026CF" w:rsidRPr="00C026CF" w:rsidRDefault="00C026CF" w:rsidP="00C026CF"/>
    <w:p w:rsidR="00C026CF" w:rsidRPr="00C026CF" w:rsidRDefault="00C026CF" w:rsidP="00C026CF"/>
    <w:p w:rsidR="00C026CF" w:rsidRPr="00C026CF" w:rsidRDefault="00C026CF" w:rsidP="00C026CF"/>
    <w:p w:rsidR="00C026CF" w:rsidRPr="00C026CF" w:rsidRDefault="00C026CF" w:rsidP="00BC1035">
      <w:pPr>
        <w:ind w:left="-1418"/>
      </w:pPr>
    </w:p>
    <w:p w:rsidR="008D05AC" w:rsidRDefault="008D05AC" w:rsidP="00412D61"/>
    <w:p w:rsidR="00C026CF" w:rsidRPr="00C026CF" w:rsidRDefault="00544ECF" w:rsidP="00BC1035">
      <w:pPr>
        <w:tabs>
          <w:tab w:val="left" w:pos="1566"/>
        </w:tabs>
      </w:pPr>
      <w:r>
        <w:rPr>
          <w:noProof/>
          <w:lang w:eastAsia="en-GB"/>
        </w:rPr>
        <w:drawing>
          <wp:anchor distT="0" distB="0" distL="114300" distR="114300" simplePos="0" relativeHeight="251684864" behindDoc="0" locked="0" layoutInCell="1" allowOverlap="1">
            <wp:simplePos x="0" y="0"/>
            <wp:positionH relativeFrom="column">
              <wp:posOffset>-425450</wp:posOffset>
            </wp:positionH>
            <wp:positionV relativeFrom="paragraph">
              <wp:posOffset>3582670</wp:posOffset>
            </wp:positionV>
            <wp:extent cx="6534150" cy="1727200"/>
            <wp:effectExtent l="1905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6534150" cy="1727200"/>
                    </a:xfrm>
                    <a:prstGeom prst="rect">
                      <a:avLst/>
                    </a:prstGeom>
                    <a:noFill/>
                    <a:ln w="9525">
                      <a:noFill/>
                      <a:miter lim="800000"/>
                      <a:headEnd/>
                      <a:tailEnd/>
                    </a:ln>
                  </pic:spPr>
                </pic:pic>
              </a:graphicData>
            </a:graphic>
          </wp:anchor>
        </w:drawing>
      </w:r>
      <w:r w:rsidR="00CE29CD">
        <w:rPr>
          <w:noProof/>
          <w:lang w:eastAsia="en-GB"/>
        </w:rPr>
        <w:pict>
          <v:shape id="Text Box 2" o:spid="_x0000_s1038" type="#_x0000_t202" style="position:absolute;margin-left:-37.75pt;margin-top:434.05pt;width:399.6pt;height:43.1pt;z-index:25168588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" filled="f" stroked="f">
            <v:textbox style="mso-fit-shape-to-text:t">
              <w:txbxContent>
                <w:p w:rsidR="00C07723" w:rsidRPr="00E9384D" w:rsidRDefault="00C07723" w:rsidP="00E9384D">
                  <w:pPr>
                    <w:rPr>
                      <w:rFonts w:ascii="Arial" w:hAnsi="Arial" w:cs="Arial"/>
                      <w:color w:val="365F91"/>
                      <w:sz w:val="18"/>
                      <w:szCs w:val="18"/>
                    </w:rPr>
                  </w:pPr>
                  <w:r>
                    <w:rPr>
                      <w:rFonts w:ascii="Arial" w:hAnsi="Arial" w:cs="Arial"/>
                      <w:color w:val="365F91"/>
                      <w:sz w:val="18"/>
                      <w:szCs w:val="18"/>
                    </w:rPr>
                    <w:t>Company Reg: 2841970 VAT No</w:t>
                  </w:r>
                  <w:r w:rsidRPr="00E9384D">
                    <w:rPr>
                      <w:rFonts w:ascii="Arial" w:hAnsi="Arial" w:cs="Arial"/>
                      <w:color w:val="365F91"/>
                      <w:sz w:val="18"/>
                      <w:szCs w:val="18"/>
                    </w:rPr>
                    <w:t>: 580660632</w:t>
                  </w:r>
                </w:p>
              </w:txbxContent>
            </v:textbox>
            <w10:wrap type="square"/>
          </v:shape>
        </w:pict>
      </w:r>
      <w:r w:rsidR="00CE29CD">
        <w:rPr>
          <w:noProof/>
          <w:lang w:eastAsia="en-GB"/>
        </w:rPr>
        <w:pict>
          <v:shape id="Text Box 22" o:spid="_x0000_s1035" type="#_x0000_t202" style="position:absolute;margin-left:34.2pt;margin-top:325.4pt;width:297pt;height:234.6pt;z-index:25168384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" filled="f" stroked="f">
            <v:textbox>
              <w:txbxContent>
                <w:p w:rsidR="00C07723" w:rsidRPr="00361AEB" w:rsidRDefault="00C07723" w:rsidP="00E9384D">
                  <w:pPr>
                    <w:rPr>
                      <w:color w:val="FFFFFF"/>
                    </w:rPr>
                  </w:pPr>
                  <w:r w:rsidRPr="00361AEB">
                    <w:rPr>
                      <w:color w:val="FFFFFF"/>
                    </w:rPr>
                    <w:t>With more than 20 years’ experience, BMG Research has established a strong reputation for delivering high quality research and consultancy.</w:t>
                  </w:r>
                </w:p>
                <w:p w:rsidR="00C07723" w:rsidRPr="00361AEB" w:rsidRDefault="00C07723" w:rsidP="00E9384D">
                  <w:pPr>
                    <w:rPr>
                      <w:color w:val="FFFFFF"/>
                    </w:rPr>
                  </w:pPr>
                  <w:r w:rsidRPr="00361AEB">
                    <w:rPr>
                      <w:color w:val="FFFFFF"/>
                    </w:rPr>
                    <w:t>BMG serves both the public and the private sector, providing market and customer insight which is vital in the development of plans, the support of campaigns and the evaluation of performance.</w:t>
                  </w:r>
                </w:p>
                <w:p w:rsidR="00C07723" w:rsidRPr="00361AEB" w:rsidRDefault="00C07723" w:rsidP="00E9384D">
                  <w:pPr>
                    <w:rPr>
                      <w:color w:val="FFFFFF"/>
                    </w:rPr>
                  </w:pPr>
                  <w:r w:rsidRPr="00361AEB">
                    <w:rPr>
                      <w:color w:val="FFFFFF"/>
                    </w:rPr>
                    <w:t xml:space="preserve">Innovation and development is very much at the heart of our business, and considerable attention is paid to the utilisation of the most up to date technologies and information systems to ensure that market and customer intelligence is widely shared. </w:t>
                  </w:r>
                </w:p>
              </w:txbxContent>
            </v:textbox>
            <w10:wrap anchorx="page" anchory="page"/>
            <w10:anchorlock/>
          </v:shape>
        </w:pict>
      </w:r>
    </w:p>
    <w:sectPr w:rsidR="00C026CF" w:rsidRPr="00C026CF" w:rsidSect="00412D61">
      <w:headerReference w:type="even" r:id="rId64"/>
      <w:footerReference w:type="even" r:id="rId65"/>
      <w:type w:val="evenPage"/>
      <w:pgSz w:w="11907" w:h="16839" w:code="9"/>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723" w:rsidRDefault="00C07723" w:rsidP="00D31F87">
      <w:pPr>
        <w:spacing w:after="0" w:line="240" w:lineRule="auto"/>
      </w:pPr>
      <w:r>
        <w:separator/>
      </w:r>
    </w:p>
  </w:endnote>
  <w:endnote w:type="continuationSeparator" w:id="0">
    <w:p w:rsidR="00C07723" w:rsidRDefault="00C07723" w:rsidP="00D3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3" w:rsidRDefault="00CE29CD">
    <w:pPr>
      <w:pStyle w:val="Footer"/>
    </w:pPr>
    <w:r>
      <w:rPr>
        <w:noProof/>
        <w:lang w:eastAsia="zh-TW"/>
      </w:rPr>
      <w:pict>
        <v:shapetype id="_x0000_t202" coordsize="21600,21600" o:spt="202" path="m,l,21600r21600,l21600,xe">
          <v:stroke joinstyle="miter"/>
          <v:path gradientshapeok="t" o:connecttype="rect"/>
        </v:shapetype>
        <v:shape id="_x0000_s2050" type="#_x0000_t202" style="position:absolute;margin-left:0;margin-top:795.45pt;width:1in;height:12.65pt;z-index:251666432;mso-width-percent:1000;mso-position-horizontal-relative:page;mso-position-vertical-relative:top-margin-area;mso-width-percent:1000;mso-width-relative:left-margin-area;v-text-anchor:middle" o:allowincell="f" fillcolor="#0075a4" stroked="f">
          <v:textbox style="mso-next-textbox:#_x0000_s2050;mso-fit-shape-to-text:t" inset=",0,,0">
            <w:txbxContent>
              <w:p w:rsidR="00C07723" w:rsidRDefault="00CE29CD" w:rsidP="0064086F">
                <w:pPr>
                  <w:shd w:val="clear" w:color="auto" w:fill="0075A4"/>
                  <w:spacing w:after="0" w:line="240" w:lineRule="auto"/>
                  <w:jc w:val="right"/>
                  <w:rPr>
                    <w:color w:val="FFFFFF" w:themeColor="background1"/>
                  </w:rPr>
                </w:pPr>
                <w:r>
                  <w:fldChar w:fldCharType="begin"/>
                </w:r>
                <w:r>
                  <w:instrText xml:space="preserve"> PAGE   \* MERGEFORMAT </w:instrText>
                </w:r>
                <w:r>
                  <w:fldChar w:fldCharType="separate"/>
                </w:r>
                <w:r w:rsidRPr="00CE29CD">
                  <w:rPr>
                    <w:noProof/>
                    <w:color w:val="FFFFFF" w:themeColor="background1"/>
                  </w:rPr>
                  <w:t>82</w:t>
                </w:r>
                <w:r>
                  <w:rPr>
                    <w:noProof/>
                    <w:color w:val="FFFFFF" w:themeColor="background1"/>
                  </w:rPr>
                  <w:fldChar w:fldCharType="end"/>
                </w:r>
              </w:p>
            </w:txbxContent>
          </v:textbox>
          <w10:wrap anchorx="page"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3" w:rsidRDefault="00C077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3" w:rsidRDefault="00CE29CD">
    <w:pPr>
      <w:pStyle w:val="Footer"/>
    </w:pPr>
    <w:r>
      <w:rPr>
        <w:noProof/>
        <w:lang w:eastAsia="zh-TW"/>
      </w:rPr>
      <w:pict>
        <v:shapetype id="_x0000_t202" coordsize="21600,21600" o:spt="202" path="m,l,21600r21600,l21600,xe">
          <v:stroke joinstyle="miter"/>
          <v:path gradientshapeok="t" o:connecttype="rect"/>
        </v:shapetype>
        <v:shape id="_x0000_s2053" type="#_x0000_t202" style="position:absolute;margin-left:523.35pt;margin-top:795.1pt;width:1in;height:12.65pt;z-index:251668480;mso-width-percent:1000;mso-position-horizontal-relative:page;mso-position-vertical-relative:top-margin-area;mso-width-percent:1000;mso-width-relative:right-margin-area;v-text-anchor:middle" o:allowincell="f" fillcolor="#0075a4" stroked="f" strokecolor="#0075a4">
          <v:textbox style="mso-next-textbox:#_x0000_s2053;mso-fit-shape-to-text:t" inset=",0,,0">
            <w:txbxContent>
              <w:p w:rsidR="00C07723" w:rsidRDefault="00CE29CD">
                <w:pPr>
                  <w:spacing w:after="0" w:line="240" w:lineRule="auto"/>
                  <w:rPr>
                    <w:color w:val="FFFFFF" w:themeColor="background1"/>
                  </w:rPr>
                </w:pPr>
                <w:r>
                  <w:fldChar w:fldCharType="begin"/>
                </w:r>
                <w:r>
                  <w:instrText xml:space="preserve"> PAGE   \*</w:instrText>
                </w:r>
                <w:r>
                  <w:instrText xml:space="preserve"> MERGEFORMAT </w:instrText>
                </w:r>
                <w:r>
                  <w:fldChar w:fldCharType="separate"/>
                </w:r>
                <w:r w:rsidRPr="00CE29CD">
                  <w:rPr>
                    <w:noProof/>
                    <w:color w:val="FFFFFF" w:themeColor="background1"/>
                  </w:rPr>
                  <w:t>83</w:t>
                </w:r>
                <w:r>
                  <w:rPr>
                    <w:noProof/>
                    <w:color w:val="FFFFFF" w:themeColor="background1"/>
                  </w:rPr>
                  <w:fldChar w:fldCharType="end"/>
                </w:r>
              </w:p>
            </w:txbxContent>
          </v:textbox>
          <w10:wrap anchorx="page" anchory="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3" w:rsidRDefault="00C077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723" w:rsidRDefault="00C07723" w:rsidP="00D31F87">
      <w:pPr>
        <w:spacing w:after="0" w:line="240" w:lineRule="auto"/>
      </w:pPr>
      <w:r>
        <w:separator/>
      </w:r>
    </w:p>
  </w:footnote>
  <w:footnote w:type="continuationSeparator" w:id="0">
    <w:p w:rsidR="00C07723" w:rsidRDefault="00C07723" w:rsidP="00D31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75A4"/>
      </w:rPr>
      <w:alias w:val="Title"/>
      <w:id w:val="8227756"/>
      <w:dataBinding w:prefixMappings="xmlns:ns0='http://purl.org/dc/elements/1.1/' xmlns:ns1='http://schemas.openxmlformats.org/package/2006/metadata/core-properties' " w:xpath="/ns1:coreProperties[1]/ns0:title[1]" w:storeItemID="{6C3C8BC8-F283-45AE-878A-BAB7291924A1}"/>
      <w:text/>
    </w:sdtPr>
    <w:sdtEndPr/>
    <w:sdtContent>
      <w:p w:rsidR="00C07723" w:rsidRPr="005368A5" w:rsidRDefault="00C07723" w:rsidP="005368A5">
        <w:pPr>
          <w:pStyle w:val="Header"/>
        </w:pPr>
        <w:r>
          <w:rPr>
            <w:color w:val="0075A4"/>
          </w:rPr>
          <w:t>Greater Lincolnshire Employer Survey 2014</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3" w:rsidRPr="0064086F" w:rsidRDefault="00BE5658" w:rsidP="00B06D4D">
    <w:pPr>
      <w:spacing w:after="0" w:line="240" w:lineRule="auto"/>
      <w:jc w:val="right"/>
      <w:rPr>
        <w:color w:val="0075A4"/>
      </w:rPr>
    </w:pPr>
    <w:r w:rsidRPr="0064086F">
      <w:rPr>
        <w:color w:val="0075A4"/>
      </w:rPr>
      <w:fldChar w:fldCharType="begin"/>
    </w:r>
    <w:r w:rsidR="00C07723" w:rsidRPr="0064086F">
      <w:rPr>
        <w:color w:val="0075A4"/>
      </w:rPr>
      <w:instrText xml:space="preserve"> STYLEREF  "Heading 1,F8 Main Heading" </w:instrText>
    </w:r>
    <w:r w:rsidR="00CE29CD">
      <w:rPr>
        <w:color w:val="0075A4"/>
      </w:rPr>
      <w:fldChar w:fldCharType="separate"/>
    </w:r>
    <w:r w:rsidR="00CE29CD">
      <w:rPr>
        <w:noProof/>
        <w:color w:val="0075A4"/>
      </w:rPr>
      <w:t>Focus on Priority and Emerging Sectors</w:t>
    </w:r>
    <w:r w:rsidRPr="0064086F">
      <w:rPr>
        <w:color w:val="0075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3" w:rsidRDefault="00C077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BE1"/>
    <w:multiLevelType w:val="hybridMultilevel"/>
    <w:tmpl w:val="87D2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D2806"/>
    <w:multiLevelType w:val="hybridMultilevel"/>
    <w:tmpl w:val="692C1F64"/>
    <w:lvl w:ilvl="0" w:tplc="24A4EBF2">
      <w:start w:val="1"/>
      <w:numFmt w:val="bullet"/>
      <w:pStyle w:val="ListParagraph"/>
      <w:lvlText w:val=""/>
      <w:lvlJc w:val="left"/>
      <w:pPr>
        <w:ind w:left="1080" w:hanging="360"/>
      </w:pPr>
      <w:rPr>
        <w:rFonts w:ascii="Symbol" w:hAnsi="Symbol" w:hint="default"/>
        <w:color w:val="0075A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634DDD"/>
    <w:multiLevelType w:val="hybridMultilevel"/>
    <w:tmpl w:val="AC361796"/>
    <w:lvl w:ilvl="0" w:tplc="A0905A1C">
      <w:start w:val="1"/>
      <w:numFmt w:val="bullet"/>
      <w:lvlText w:val=""/>
      <w:lvlJc w:val="left"/>
      <w:pPr>
        <w:ind w:left="1440" w:hanging="360"/>
      </w:pPr>
      <w:rPr>
        <w:rFonts w:ascii="Symbol" w:hAnsi="Symbol" w:hint="default"/>
        <w:color w:val="0075A4"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A436EC"/>
    <w:multiLevelType w:val="hybridMultilevel"/>
    <w:tmpl w:val="6FF4826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4">
    <w:nsid w:val="20E77FC3"/>
    <w:multiLevelType w:val="hybridMultilevel"/>
    <w:tmpl w:val="08BC5474"/>
    <w:lvl w:ilvl="0" w:tplc="46EAEF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FE6BB7"/>
    <w:multiLevelType w:val="hybridMultilevel"/>
    <w:tmpl w:val="0EC02B8A"/>
    <w:lvl w:ilvl="0" w:tplc="169A875E">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A84931"/>
    <w:multiLevelType w:val="hybridMultilevel"/>
    <w:tmpl w:val="A00C54F4"/>
    <w:lvl w:ilvl="0" w:tplc="169A875E">
      <w:start w:val="1"/>
      <w:numFmt w:val="decimal"/>
      <w:lvlText w:val="%1."/>
      <w:lvlJc w:val="left"/>
      <w:pPr>
        <w:ind w:left="92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nsid w:val="393D2986"/>
    <w:multiLevelType w:val="hybridMultilevel"/>
    <w:tmpl w:val="600C426A"/>
    <w:lvl w:ilvl="0" w:tplc="169A875E">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151D88"/>
    <w:multiLevelType w:val="hybridMultilevel"/>
    <w:tmpl w:val="641E720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9">
    <w:nsid w:val="45102C37"/>
    <w:multiLevelType w:val="hybridMultilevel"/>
    <w:tmpl w:val="DC986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61E2101"/>
    <w:multiLevelType w:val="hybridMultilevel"/>
    <w:tmpl w:val="DBA84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7E732B4"/>
    <w:multiLevelType w:val="hybridMultilevel"/>
    <w:tmpl w:val="BD0E7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984152B"/>
    <w:multiLevelType w:val="hybridMultilevel"/>
    <w:tmpl w:val="8DFC93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544B09B0"/>
    <w:multiLevelType w:val="hybridMultilevel"/>
    <w:tmpl w:val="AF248D04"/>
    <w:lvl w:ilvl="0" w:tplc="08090005">
      <w:start w:val="1"/>
      <w:numFmt w:val="bullet"/>
      <w:lvlText w:val=""/>
      <w:lvlJc w:val="left"/>
      <w:pPr>
        <w:ind w:left="1077"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096047"/>
    <w:multiLevelType w:val="hybridMultilevel"/>
    <w:tmpl w:val="EEC0C876"/>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5">
    <w:nsid w:val="598179AE"/>
    <w:multiLevelType w:val="hybridMultilevel"/>
    <w:tmpl w:val="3404C776"/>
    <w:lvl w:ilvl="0" w:tplc="AE8CD49A">
      <w:start w:val="1"/>
      <w:numFmt w:val="bullet"/>
      <w:lvlText w:val=""/>
      <w:lvlJc w:val="left"/>
      <w:pPr>
        <w:ind w:left="1440" w:hanging="360"/>
      </w:pPr>
      <w:rPr>
        <w:rFonts w:ascii="Symbol" w:hAnsi="Symbol" w:hint="default"/>
        <w:b/>
        <w:i w:val="0"/>
        <w:color w:val="0075A4"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482242"/>
    <w:multiLevelType w:val="hybridMultilevel"/>
    <w:tmpl w:val="E4F054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69EC501D"/>
    <w:multiLevelType w:val="multilevel"/>
    <w:tmpl w:val="7B48DAF0"/>
    <w:lvl w:ilvl="0">
      <w:start w:val="1"/>
      <w:numFmt w:val="decimal"/>
      <w:pStyle w:val="Heading1"/>
      <w:lvlText w:val="%1"/>
      <w:lvlJc w:val="left"/>
      <w:pPr>
        <w:ind w:left="432" w:hanging="432"/>
      </w:pPr>
    </w:lvl>
    <w:lvl w:ilvl="1">
      <w:start w:val="1"/>
      <w:numFmt w:val="decimal"/>
      <w:pStyle w:val="Heading2"/>
      <w:lvlText w:val="%1.%2"/>
      <w:lvlJc w:val="left"/>
      <w:pPr>
        <w:ind w:left="1144"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ind w:left="100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02E5F5F"/>
    <w:multiLevelType w:val="hybridMultilevel"/>
    <w:tmpl w:val="0B3C6272"/>
    <w:lvl w:ilvl="0" w:tplc="68F26568">
      <w:start w:val="1"/>
      <w:numFmt w:val="decimal"/>
      <w:pStyle w:val="F12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E2648CF"/>
    <w:multiLevelType w:val="hybridMultilevel"/>
    <w:tmpl w:val="C410569C"/>
    <w:lvl w:ilvl="0" w:tplc="08090001">
      <w:start w:val="1"/>
      <w:numFmt w:val="bullet"/>
      <w:lvlText w:val=""/>
      <w:lvlJc w:val="left"/>
      <w:pPr>
        <w:ind w:left="261" w:hanging="360"/>
      </w:pPr>
      <w:rPr>
        <w:rFonts w:ascii="Symbol" w:hAnsi="Symbol" w:hint="default"/>
      </w:rPr>
    </w:lvl>
    <w:lvl w:ilvl="1" w:tplc="08090003" w:tentative="1">
      <w:start w:val="1"/>
      <w:numFmt w:val="bullet"/>
      <w:lvlText w:val="o"/>
      <w:lvlJc w:val="left"/>
      <w:pPr>
        <w:ind w:left="981" w:hanging="360"/>
      </w:pPr>
      <w:rPr>
        <w:rFonts w:ascii="Courier New" w:hAnsi="Courier New" w:cs="Courier New" w:hint="default"/>
      </w:rPr>
    </w:lvl>
    <w:lvl w:ilvl="2" w:tplc="08090005" w:tentative="1">
      <w:start w:val="1"/>
      <w:numFmt w:val="bullet"/>
      <w:lvlText w:val=""/>
      <w:lvlJc w:val="left"/>
      <w:pPr>
        <w:ind w:left="1701" w:hanging="360"/>
      </w:pPr>
      <w:rPr>
        <w:rFonts w:ascii="Wingdings" w:hAnsi="Wingdings" w:hint="default"/>
      </w:rPr>
    </w:lvl>
    <w:lvl w:ilvl="3" w:tplc="08090001" w:tentative="1">
      <w:start w:val="1"/>
      <w:numFmt w:val="bullet"/>
      <w:lvlText w:val=""/>
      <w:lvlJc w:val="left"/>
      <w:pPr>
        <w:ind w:left="2421" w:hanging="360"/>
      </w:pPr>
      <w:rPr>
        <w:rFonts w:ascii="Symbol" w:hAnsi="Symbol" w:hint="default"/>
      </w:rPr>
    </w:lvl>
    <w:lvl w:ilvl="4" w:tplc="08090003" w:tentative="1">
      <w:start w:val="1"/>
      <w:numFmt w:val="bullet"/>
      <w:lvlText w:val="o"/>
      <w:lvlJc w:val="left"/>
      <w:pPr>
        <w:ind w:left="3141" w:hanging="360"/>
      </w:pPr>
      <w:rPr>
        <w:rFonts w:ascii="Courier New" w:hAnsi="Courier New" w:cs="Courier New" w:hint="default"/>
      </w:rPr>
    </w:lvl>
    <w:lvl w:ilvl="5" w:tplc="08090005" w:tentative="1">
      <w:start w:val="1"/>
      <w:numFmt w:val="bullet"/>
      <w:lvlText w:val=""/>
      <w:lvlJc w:val="left"/>
      <w:pPr>
        <w:ind w:left="3861" w:hanging="360"/>
      </w:pPr>
      <w:rPr>
        <w:rFonts w:ascii="Wingdings" w:hAnsi="Wingdings" w:hint="default"/>
      </w:rPr>
    </w:lvl>
    <w:lvl w:ilvl="6" w:tplc="08090001" w:tentative="1">
      <w:start w:val="1"/>
      <w:numFmt w:val="bullet"/>
      <w:lvlText w:val=""/>
      <w:lvlJc w:val="left"/>
      <w:pPr>
        <w:ind w:left="4581" w:hanging="360"/>
      </w:pPr>
      <w:rPr>
        <w:rFonts w:ascii="Symbol" w:hAnsi="Symbol" w:hint="default"/>
      </w:rPr>
    </w:lvl>
    <w:lvl w:ilvl="7" w:tplc="08090003" w:tentative="1">
      <w:start w:val="1"/>
      <w:numFmt w:val="bullet"/>
      <w:lvlText w:val="o"/>
      <w:lvlJc w:val="left"/>
      <w:pPr>
        <w:ind w:left="5301" w:hanging="360"/>
      </w:pPr>
      <w:rPr>
        <w:rFonts w:ascii="Courier New" w:hAnsi="Courier New" w:cs="Courier New" w:hint="default"/>
      </w:rPr>
    </w:lvl>
    <w:lvl w:ilvl="8" w:tplc="08090005" w:tentative="1">
      <w:start w:val="1"/>
      <w:numFmt w:val="bullet"/>
      <w:lvlText w:val=""/>
      <w:lvlJc w:val="left"/>
      <w:pPr>
        <w:ind w:left="6021" w:hanging="360"/>
      </w:pPr>
      <w:rPr>
        <w:rFonts w:ascii="Wingdings" w:hAnsi="Wingdings" w:hint="default"/>
      </w:rPr>
    </w:lvl>
  </w:abstractNum>
  <w:num w:numId="1">
    <w:abstractNumId w:val="0"/>
  </w:num>
  <w:num w:numId="2">
    <w:abstractNumId w:val="15"/>
  </w:num>
  <w:num w:numId="3">
    <w:abstractNumId w:val="11"/>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5"/>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5"/>
  </w:num>
  <w:num w:numId="23">
    <w:abstractNumId w:val="2"/>
  </w:num>
  <w:num w:numId="24">
    <w:abstractNumId w:val="1"/>
  </w:num>
  <w:num w:numId="25">
    <w:abstractNumId w:val="16"/>
  </w:num>
  <w:num w:numId="26">
    <w:abstractNumId w:val="12"/>
  </w:num>
  <w:num w:numId="27">
    <w:abstractNumId w:val="3"/>
  </w:num>
  <w:num w:numId="28">
    <w:abstractNumId w:val="19"/>
  </w:num>
  <w:num w:numId="29">
    <w:abstractNumId w:val="10"/>
  </w:num>
  <w:num w:numId="30">
    <w:abstractNumId w:val="8"/>
  </w:num>
  <w:num w:numId="31">
    <w:abstractNumId w:val="9"/>
  </w:num>
  <w:num w:numId="32">
    <w:abstractNumId w:val="14"/>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18"/>
  </w:num>
  <w:num w:numId="42">
    <w:abstractNumId w:val="7"/>
  </w:num>
  <w:num w:numId="43">
    <w:abstractNumId w:val="5"/>
  </w:num>
  <w:num w:numId="44">
    <w:abstractNumId w:val="1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drawingGridHorizontalSpacing w:val="108"/>
  <w:drawingGridVerticalSpacing w:val="181"/>
  <w:displayHorizontalDrawingGridEvery w:val="2"/>
  <w:characterSpacingControl w:val="doNotCompress"/>
  <w:hdrShapeDefaults>
    <o:shapedefaults v:ext="edit" spidmax="2056">
      <o:colormenu v:ext="edit" fillcolor="#0075a4"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6F1D"/>
    <w:rsid w:val="00000908"/>
    <w:rsid w:val="0000169E"/>
    <w:rsid w:val="00002735"/>
    <w:rsid w:val="00006CC8"/>
    <w:rsid w:val="0000795B"/>
    <w:rsid w:val="00011571"/>
    <w:rsid w:val="0001260C"/>
    <w:rsid w:val="0001268F"/>
    <w:rsid w:val="00013137"/>
    <w:rsid w:val="000135FD"/>
    <w:rsid w:val="00013800"/>
    <w:rsid w:val="00013F1C"/>
    <w:rsid w:val="00016034"/>
    <w:rsid w:val="00016CF4"/>
    <w:rsid w:val="00017F83"/>
    <w:rsid w:val="000211B9"/>
    <w:rsid w:val="0002235B"/>
    <w:rsid w:val="00023B67"/>
    <w:rsid w:val="00024986"/>
    <w:rsid w:val="00025C74"/>
    <w:rsid w:val="00031D84"/>
    <w:rsid w:val="000337F5"/>
    <w:rsid w:val="0004187D"/>
    <w:rsid w:val="00042308"/>
    <w:rsid w:val="00045BC7"/>
    <w:rsid w:val="00050D49"/>
    <w:rsid w:val="0005403E"/>
    <w:rsid w:val="00054732"/>
    <w:rsid w:val="00055CDD"/>
    <w:rsid w:val="00056B32"/>
    <w:rsid w:val="00057B8F"/>
    <w:rsid w:val="000610A7"/>
    <w:rsid w:val="000617FD"/>
    <w:rsid w:val="000618AC"/>
    <w:rsid w:val="00064650"/>
    <w:rsid w:val="00070151"/>
    <w:rsid w:val="000713CD"/>
    <w:rsid w:val="00076EC5"/>
    <w:rsid w:val="000774A5"/>
    <w:rsid w:val="0008758E"/>
    <w:rsid w:val="00087DFD"/>
    <w:rsid w:val="00090904"/>
    <w:rsid w:val="00090CD3"/>
    <w:rsid w:val="00092D1C"/>
    <w:rsid w:val="00093EE3"/>
    <w:rsid w:val="00094099"/>
    <w:rsid w:val="00094827"/>
    <w:rsid w:val="00095740"/>
    <w:rsid w:val="000964C0"/>
    <w:rsid w:val="0009709E"/>
    <w:rsid w:val="00097328"/>
    <w:rsid w:val="000A46D9"/>
    <w:rsid w:val="000A5DDB"/>
    <w:rsid w:val="000A6429"/>
    <w:rsid w:val="000B1FE1"/>
    <w:rsid w:val="000C0448"/>
    <w:rsid w:val="000C0997"/>
    <w:rsid w:val="000C36AD"/>
    <w:rsid w:val="000C6738"/>
    <w:rsid w:val="000C67BA"/>
    <w:rsid w:val="000D0E93"/>
    <w:rsid w:val="000D4418"/>
    <w:rsid w:val="000D6D96"/>
    <w:rsid w:val="000E372E"/>
    <w:rsid w:val="000F0847"/>
    <w:rsid w:val="000F1351"/>
    <w:rsid w:val="000F6E30"/>
    <w:rsid w:val="00100411"/>
    <w:rsid w:val="00100877"/>
    <w:rsid w:val="001018F5"/>
    <w:rsid w:val="001045C0"/>
    <w:rsid w:val="00104A1E"/>
    <w:rsid w:val="00110BA9"/>
    <w:rsid w:val="00110C58"/>
    <w:rsid w:val="0011510F"/>
    <w:rsid w:val="00115688"/>
    <w:rsid w:val="00117DA6"/>
    <w:rsid w:val="001225EC"/>
    <w:rsid w:val="001311B4"/>
    <w:rsid w:val="00133831"/>
    <w:rsid w:val="00136682"/>
    <w:rsid w:val="00141D44"/>
    <w:rsid w:val="00143913"/>
    <w:rsid w:val="001453EE"/>
    <w:rsid w:val="001469A2"/>
    <w:rsid w:val="00146E10"/>
    <w:rsid w:val="001503EB"/>
    <w:rsid w:val="00151F6E"/>
    <w:rsid w:val="0015219E"/>
    <w:rsid w:val="0016115F"/>
    <w:rsid w:val="001615E5"/>
    <w:rsid w:val="00161B18"/>
    <w:rsid w:val="00165A26"/>
    <w:rsid w:val="0017037C"/>
    <w:rsid w:val="00173461"/>
    <w:rsid w:val="0017640B"/>
    <w:rsid w:val="00180559"/>
    <w:rsid w:val="001854CA"/>
    <w:rsid w:val="00186376"/>
    <w:rsid w:val="00186C66"/>
    <w:rsid w:val="00187A15"/>
    <w:rsid w:val="001923DD"/>
    <w:rsid w:val="00192B68"/>
    <w:rsid w:val="001952BE"/>
    <w:rsid w:val="00195E2D"/>
    <w:rsid w:val="00196E95"/>
    <w:rsid w:val="001971CE"/>
    <w:rsid w:val="00197A7E"/>
    <w:rsid w:val="001A0EC4"/>
    <w:rsid w:val="001A2097"/>
    <w:rsid w:val="001A41C4"/>
    <w:rsid w:val="001B174E"/>
    <w:rsid w:val="001B186A"/>
    <w:rsid w:val="001C4BAC"/>
    <w:rsid w:val="001C69E7"/>
    <w:rsid w:val="001D24B8"/>
    <w:rsid w:val="001D5A56"/>
    <w:rsid w:val="001D674F"/>
    <w:rsid w:val="001E2001"/>
    <w:rsid w:val="001E26F5"/>
    <w:rsid w:val="001E42CC"/>
    <w:rsid w:val="001E6A86"/>
    <w:rsid w:val="001F1310"/>
    <w:rsid w:val="001F1D0A"/>
    <w:rsid w:val="001F2604"/>
    <w:rsid w:val="001F2FFC"/>
    <w:rsid w:val="001F451D"/>
    <w:rsid w:val="001F4A21"/>
    <w:rsid w:val="001F7818"/>
    <w:rsid w:val="00202C25"/>
    <w:rsid w:val="002069F4"/>
    <w:rsid w:val="00206CE3"/>
    <w:rsid w:val="0021019A"/>
    <w:rsid w:val="002134FF"/>
    <w:rsid w:val="002161E8"/>
    <w:rsid w:val="00216FD0"/>
    <w:rsid w:val="00223995"/>
    <w:rsid w:val="002256AC"/>
    <w:rsid w:val="0023584A"/>
    <w:rsid w:val="0024193F"/>
    <w:rsid w:val="00241B37"/>
    <w:rsid w:val="00242F1D"/>
    <w:rsid w:val="002452AE"/>
    <w:rsid w:val="00245AD3"/>
    <w:rsid w:val="00246C00"/>
    <w:rsid w:val="00251BCF"/>
    <w:rsid w:val="00257372"/>
    <w:rsid w:val="00257F55"/>
    <w:rsid w:val="00261832"/>
    <w:rsid w:val="0026243D"/>
    <w:rsid w:val="00266CB3"/>
    <w:rsid w:val="00266E4C"/>
    <w:rsid w:val="00270C14"/>
    <w:rsid w:val="0027230F"/>
    <w:rsid w:val="00272C71"/>
    <w:rsid w:val="0027467F"/>
    <w:rsid w:val="00280509"/>
    <w:rsid w:val="00282F06"/>
    <w:rsid w:val="00283A04"/>
    <w:rsid w:val="00283B47"/>
    <w:rsid w:val="00291300"/>
    <w:rsid w:val="002955A9"/>
    <w:rsid w:val="00296E5A"/>
    <w:rsid w:val="00297BF2"/>
    <w:rsid w:val="002A1D76"/>
    <w:rsid w:val="002A2D84"/>
    <w:rsid w:val="002A3209"/>
    <w:rsid w:val="002A5EF1"/>
    <w:rsid w:val="002B09C1"/>
    <w:rsid w:val="002B1110"/>
    <w:rsid w:val="002B49F5"/>
    <w:rsid w:val="002C4875"/>
    <w:rsid w:val="002C5495"/>
    <w:rsid w:val="002C65B3"/>
    <w:rsid w:val="002C66C0"/>
    <w:rsid w:val="002C67BA"/>
    <w:rsid w:val="002C6805"/>
    <w:rsid w:val="002D3493"/>
    <w:rsid w:val="002D3706"/>
    <w:rsid w:val="002D7F44"/>
    <w:rsid w:val="002E2ECA"/>
    <w:rsid w:val="002E4253"/>
    <w:rsid w:val="002F4FFA"/>
    <w:rsid w:val="0030295F"/>
    <w:rsid w:val="00302B93"/>
    <w:rsid w:val="00303116"/>
    <w:rsid w:val="0030327E"/>
    <w:rsid w:val="003047D6"/>
    <w:rsid w:val="003051D3"/>
    <w:rsid w:val="00310C0B"/>
    <w:rsid w:val="00312A16"/>
    <w:rsid w:val="00312D97"/>
    <w:rsid w:val="0031535A"/>
    <w:rsid w:val="00315E83"/>
    <w:rsid w:val="00320726"/>
    <w:rsid w:val="003238AC"/>
    <w:rsid w:val="0032478B"/>
    <w:rsid w:val="00324C5B"/>
    <w:rsid w:val="0032548C"/>
    <w:rsid w:val="00326056"/>
    <w:rsid w:val="00327131"/>
    <w:rsid w:val="00333EE3"/>
    <w:rsid w:val="00336A30"/>
    <w:rsid w:val="00345155"/>
    <w:rsid w:val="003476AA"/>
    <w:rsid w:val="003507E8"/>
    <w:rsid w:val="00350888"/>
    <w:rsid w:val="003522B4"/>
    <w:rsid w:val="00355192"/>
    <w:rsid w:val="003573CA"/>
    <w:rsid w:val="00360389"/>
    <w:rsid w:val="00361D18"/>
    <w:rsid w:val="003638B9"/>
    <w:rsid w:val="0037122F"/>
    <w:rsid w:val="00372F30"/>
    <w:rsid w:val="003731F0"/>
    <w:rsid w:val="003737F3"/>
    <w:rsid w:val="003760A8"/>
    <w:rsid w:val="00380375"/>
    <w:rsid w:val="00380FC7"/>
    <w:rsid w:val="00384978"/>
    <w:rsid w:val="00385FE4"/>
    <w:rsid w:val="00387246"/>
    <w:rsid w:val="003873E5"/>
    <w:rsid w:val="003942FE"/>
    <w:rsid w:val="00395270"/>
    <w:rsid w:val="00396B48"/>
    <w:rsid w:val="003978C0"/>
    <w:rsid w:val="00397FC0"/>
    <w:rsid w:val="003A1BD4"/>
    <w:rsid w:val="003A2163"/>
    <w:rsid w:val="003A2C13"/>
    <w:rsid w:val="003A3615"/>
    <w:rsid w:val="003A4637"/>
    <w:rsid w:val="003A5C7A"/>
    <w:rsid w:val="003B0D93"/>
    <w:rsid w:val="003B1BB3"/>
    <w:rsid w:val="003B5C9F"/>
    <w:rsid w:val="003B78A0"/>
    <w:rsid w:val="003C0922"/>
    <w:rsid w:val="003C2317"/>
    <w:rsid w:val="003C3C9B"/>
    <w:rsid w:val="003D0678"/>
    <w:rsid w:val="003D1AF0"/>
    <w:rsid w:val="003D2225"/>
    <w:rsid w:val="003D36EC"/>
    <w:rsid w:val="003D40B6"/>
    <w:rsid w:val="003D4280"/>
    <w:rsid w:val="003D448A"/>
    <w:rsid w:val="003D6656"/>
    <w:rsid w:val="003E2733"/>
    <w:rsid w:val="003E3C16"/>
    <w:rsid w:val="003E48F9"/>
    <w:rsid w:val="003E5E41"/>
    <w:rsid w:val="003E7EAA"/>
    <w:rsid w:val="003F05D7"/>
    <w:rsid w:val="003F0B9F"/>
    <w:rsid w:val="003F4636"/>
    <w:rsid w:val="003F6991"/>
    <w:rsid w:val="00400F86"/>
    <w:rsid w:val="00401E6E"/>
    <w:rsid w:val="00403721"/>
    <w:rsid w:val="00405810"/>
    <w:rsid w:val="00412D61"/>
    <w:rsid w:val="004135B9"/>
    <w:rsid w:val="0041607F"/>
    <w:rsid w:val="0041774C"/>
    <w:rsid w:val="00417FB1"/>
    <w:rsid w:val="00426F6D"/>
    <w:rsid w:val="00430619"/>
    <w:rsid w:val="00431F91"/>
    <w:rsid w:val="004331A2"/>
    <w:rsid w:val="004354F0"/>
    <w:rsid w:val="00435B03"/>
    <w:rsid w:val="00441F2C"/>
    <w:rsid w:val="0044589D"/>
    <w:rsid w:val="00451CA9"/>
    <w:rsid w:val="00454B20"/>
    <w:rsid w:val="004571E0"/>
    <w:rsid w:val="004604F8"/>
    <w:rsid w:val="00463086"/>
    <w:rsid w:val="0046383C"/>
    <w:rsid w:val="00465F50"/>
    <w:rsid w:val="00467A46"/>
    <w:rsid w:val="004703D2"/>
    <w:rsid w:val="0047749B"/>
    <w:rsid w:val="004811FF"/>
    <w:rsid w:val="00481279"/>
    <w:rsid w:val="00485E35"/>
    <w:rsid w:val="00486A1E"/>
    <w:rsid w:val="00487D9F"/>
    <w:rsid w:val="004979C8"/>
    <w:rsid w:val="004A10CB"/>
    <w:rsid w:val="004A2105"/>
    <w:rsid w:val="004A3520"/>
    <w:rsid w:val="004A3E5E"/>
    <w:rsid w:val="004B554D"/>
    <w:rsid w:val="004B5B7B"/>
    <w:rsid w:val="004C18DF"/>
    <w:rsid w:val="004C1BFE"/>
    <w:rsid w:val="004C23FC"/>
    <w:rsid w:val="004C41E9"/>
    <w:rsid w:val="004C47BC"/>
    <w:rsid w:val="004C50E9"/>
    <w:rsid w:val="004D64AC"/>
    <w:rsid w:val="004D6EE5"/>
    <w:rsid w:val="004E0C8E"/>
    <w:rsid w:val="004E1E37"/>
    <w:rsid w:val="004E63E1"/>
    <w:rsid w:val="004E7951"/>
    <w:rsid w:val="004F0FAE"/>
    <w:rsid w:val="004F1AE8"/>
    <w:rsid w:val="004F3FFB"/>
    <w:rsid w:val="004F7633"/>
    <w:rsid w:val="004F7B40"/>
    <w:rsid w:val="004F7DD3"/>
    <w:rsid w:val="0050411B"/>
    <w:rsid w:val="005113F6"/>
    <w:rsid w:val="00511879"/>
    <w:rsid w:val="005152B3"/>
    <w:rsid w:val="00515449"/>
    <w:rsid w:val="005208E3"/>
    <w:rsid w:val="0052600A"/>
    <w:rsid w:val="00526E37"/>
    <w:rsid w:val="005368A5"/>
    <w:rsid w:val="00540054"/>
    <w:rsid w:val="00541842"/>
    <w:rsid w:val="00544ECF"/>
    <w:rsid w:val="005470ED"/>
    <w:rsid w:val="00547517"/>
    <w:rsid w:val="00550521"/>
    <w:rsid w:val="00554699"/>
    <w:rsid w:val="005573E5"/>
    <w:rsid w:val="0055786D"/>
    <w:rsid w:val="00561FAB"/>
    <w:rsid w:val="005641A9"/>
    <w:rsid w:val="00565D83"/>
    <w:rsid w:val="00566930"/>
    <w:rsid w:val="005672BB"/>
    <w:rsid w:val="00567FAC"/>
    <w:rsid w:val="005706BC"/>
    <w:rsid w:val="00570FF5"/>
    <w:rsid w:val="00572F56"/>
    <w:rsid w:val="00573AAC"/>
    <w:rsid w:val="00574D0A"/>
    <w:rsid w:val="00577370"/>
    <w:rsid w:val="00577F6D"/>
    <w:rsid w:val="00582C7B"/>
    <w:rsid w:val="00585783"/>
    <w:rsid w:val="00592F1B"/>
    <w:rsid w:val="00593C42"/>
    <w:rsid w:val="00594804"/>
    <w:rsid w:val="0059513F"/>
    <w:rsid w:val="00595F13"/>
    <w:rsid w:val="00596BA8"/>
    <w:rsid w:val="005A2C2A"/>
    <w:rsid w:val="005A4772"/>
    <w:rsid w:val="005A71AC"/>
    <w:rsid w:val="005A7530"/>
    <w:rsid w:val="005C142C"/>
    <w:rsid w:val="005C733C"/>
    <w:rsid w:val="005C7398"/>
    <w:rsid w:val="005D09DB"/>
    <w:rsid w:val="005D1880"/>
    <w:rsid w:val="005D5734"/>
    <w:rsid w:val="005D66D3"/>
    <w:rsid w:val="005D7DA5"/>
    <w:rsid w:val="005E0785"/>
    <w:rsid w:val="005E11F8"/>
    <w:rsid w:val="005E1366"/>
    <w:rsid w:val="005E1F82"/>
    <w:rsid w:val="005E46A2"/>
    <w:rsid w:val="005E7F4F"/>
    <w:rsid w:val="005F2B08"/>
    <w:rsid w:val="005F3E2F"/>
    <w:rsid w:val="005F59E8"/>
    <w:rsid w:val="005F6F17"/>
    <w:rsid w:val="00600E53"/>
    <w:rsid w:val="0060192E"/>
    <w:rsid w:val="00601D41"/>
    <w:rsid w:val="00601E9A"/>
    <w:rsid w:val="006056DB"/>
    <w:rsid w:val="006068A1"/>
    <w:rsid w:val="00607278"/>
    <w:rsid w:val="00610A5B"/>
    <w:rsid w:val="00616F1D"/>
    <w:rsid w:val="00617311"/>
    <w:rsid w:val="0061781D"/>
    <w:rsid w:val="00621D9D"/>
    <w:rsid w:val="00624AF2"/>
    <w:rsid w:val="006258DB"/>
    <w:rsid w:val="00626941"/>
    <w:rsid w:val="006308B2"/>
    <w:rsid w:val="00630DA9"/>
    <w:rsid w:val="00630F39"/>
    <w:rsid w:val="00633352"/>
    <w:rsid w:val="00633CA0"/>
    <w:rsid w:val="00635FBC"/>
    <w:rsid w:val="0063754D"/>
    <w:rsid w:val="0064086F"/>
    <w:rsid w:val="0064087B"/>
    <w:rsid w:val="00642437"/>
    <w:rsid w:val="00642B00"/>
    <w:rsid w:val="0064376B"/>
    <w:rsid w:val="00643D17"/>
    <w:rsid w:val="00644841"/>
    <w:rsid w:val="006457EA"/>
    <w:rsid w:val="00645E28"/>
    <w:rsid w:val="00651896"/>
    <w:rsid w:val="00656730"/>
    <w:rsid w:val="00665737"/>
    <w:rsid w:val="00665A3B"/>
    <w:rsid w:val="00665A46"/>
    <w:rsid w:val="00671724"/>
    <w:rsid w:val="00671EA1"/>
    <w:rsid w:val="00674C51"/>
    <w:rsid w:val="006831D2"/>
    <w:rsid w:val="00684002"/>
    <w:rsid w:val="00686250"/>
    <w:rsid w:val="00686D2D"/>
    <w:rsid w:val="00690350"/>
    <w:rsid w:val="00691B47"/>
    <w:rsid w:val="00694164"/>
    <w:rsid w:val="00694352"/>
    <w:rsid w:val="00694E1D"/>
    <w:rsid w:val="00697776"/>
    <w:rsid w:val="006A0862"/>
    <w:rsid w:val="006A3374"/>
    <w:rsid w:val="006A3AF3"/>
    <w:rsid w:val="006A45DC"/>
    <w:rsid w:val="006A6DDF"/>
    <w:rsid w:val="006B4053"/>
    <w:rsid w:val="006B6285"/>
    <w:rsid w:val="006B62CE"/>
    <w:rsid w:val="006C0933"/>
    <w:rsid w:val="006C0EB2"/>
    <w:rsid w:val="006C47F5"/>
    <w:rsid w:val="006C7506"/>
    <w:rsid w:val="006D112D"/>
    <w:rsid w:val="006D17DF"/>
    <w:rsid w:val="006D291A"/>
    <w:rsid w:val="006D2D79"/>
    <w:rsid w:val="006D32DE"/>
    <w:rsid w:val="006D6649"/>
    <w:rsid w:val="006D7F6B"/>
    <w:rsid w:val="006E14C7"/>
    <w:rsid w:val="006E2A81"/>
    <w:rsid w:val="006E393E"/>
    <w:rsid w:val="006E4824"/>
    <w:rsid w:val="006E5B3C"/>
    <w:rsid w:val="006E670B"/>
    <w:rsid w:val="006F0BDB"/>
    <w:rsid w:val="006F135B"/>
    <w:rsid w:val="006F41D5"/>
    <w:rsid w:val="006F75ED"/>
    <w:rsid w:val="006F7929"/>
    <w:rsid w:val="00701969"/>
    <w:rsid w:val="00703585"/>
    <w:rsid w:val="007037DB"/>
    <w:rsid w:val="00704452"/>
    <w:rsid w:val="00707E97"/>
    <w:rsid w:val="007103C7"/>
    <w:rsid w:val="00715706"/>
    <w:rsid w:val="0071605A"/>
    <w:rsid w:val="00721BF5"/>
    <w:rsid w:val="00722DD3"/>
    <w:rsid w:val="007303CB"/>
    <w:rsid w:val="00732A5B"/>
    <w:rsid w:val="0073300F"/>
    <w:rsid w:val="00736D6E"/>
    <w:rsid w:val="00740570"/>
    <w:rsid w:val="00740E83"/>
    <w:rsid w:val="0074116F"/>
    <w:rsid w:val="00743199"/>
    <w:rsid w:val="00745D55"/>
    <w:rsid w:val="00747C9D"/>
    <w:rsid w:val="00753132"/>
    <w:rsid w:val="00754B11"/>
    <w:rsid w:val="00754C2F"/>
    <w:rsid w:val="007556B3"/>
    <w:rsid w:val="00755F1D"/>
    <w:rsid w:val="00755FA2"/>
    <w:rsid w:val="007560E6"/>
    <w:rsid w:val="007561A8"/>
    <w:rsid w:val="00762742"/>
    <w:rsid w:val="00763ED9"/>
    <w:rsid w:val="00766149"/>
    <w:rsid w:val="00773A1D"/>
    <w:rsid w:val="00774BFE"/>
    <w:rsid w:val="00775A74"/>
    <w:rsid w:val="007807B3"/>
    <w:rsid w:val="00780C92"/>
    <w:rsid w:val="00783604"/>
    <w:rsid w:val="007837CB"/>
    <w:rsid w:val="00785BD1"/>
    <w:rsid w:val="007867AC"/>
    <w:rsid w:val="0079250F"/>
    <w:rsid w:val="0079692C"/>
    <w:rsid w:val="00797A1B"/>
    <w:rsid w:val="007A08CA"/>
    <w:rsid w:val="007A1708"/>
    <w:rsid w:val="007A63CA"/>
    <w:rsid w:val="007A6F05"/>
    <w:rsid w:val="007B24D3"/>
    <w:rsid w:val="007B58B4"/>
    <w:rsid w:val="007B6C3E"/>
    <w:rsid w:val="007B71CA"/>
    <w:rsid w:val="007C03BF"/>
    <w:rsid w:val="007C085E"/>
    <w:rsid w:val="007C140E"/>
    <w:rsid w:val="007C14FE"/>
    <w:rsid w:val="007C1D57"/>
    <w:rsid w:val="007C33D7"/>
    <w:rsid w:val="007C4ED5"/>
    <w:rsid w:val="007D28CF"/>
    <w:rsid w:val="007D2E11"/>
    <w:rsid w:val="007D3F62"/>
    <w:rsid w:val="007D41CF"/>
    <w:rsid w:val="007D53F6"/>
    <w:rsid w:val="007E3215"/>
    <w:rsid w:val="007E4AAD"/>
    <w:rsid w:val="007E70F3"/>
    <w:rsid w:val="007F0E77"/>
    <w:rsid w:val="007F0F83"/>
    <w:rsid w:val="007F1822"/>
    <w:rsid w:val="007F38E8"/>
    <w:rsid w:val="007F4AFF"/>
    <w:rsid w:val="007F53B5"/>
    <w:rsid w:val="00801D9F"/>
    <w:rsid w:val="0080399C"/>
    <w:rsid w:val="008043CE"/>
    <w:rsid w:val="00807752"/>
    <w:rsid w:val="00807B9C"/>
    <w:rsid w:val="00810571"/>
    <w:rsid w:val="00811C0A"/>
    <w:rsid w:val="008160EE"/>
    <w:rsid w:val="0081774E"/>
    <w:rsid w:val="0082125A"/>
    <w:rsid w:val="008235C5"/>
    <w:rsid w:val="0083213A"/>
    <w:rsid w:val="00834EBE"/>
    <w:rsid w:val="0083619D"/>
    <w:rsid w:val="008372ED"/>
    <w:rsid w:val="00843EA8"/>
    <w:rsid w:val="008447EF"/>
    <w:rsid w:val="00855A79"/>
    <w:rsid w:val="00855BD9"/>
    <w:rsid w:val="00857914"/>
    <w:rsid w:val="00860E90"/>
    <w:rsid w:val="00861198"/>
    <w:rsid w:val="008613DD"/>
    <w:rsid w:val="008616DD"/>
    <w:rsid w:val="00861F87"/>
    <w:rsid w:val="00862E3E"/>
    <w:rsid w:val="00864A79"/>
    <w:rsid w:val="00867BC2"/>
    <w:rsid w:val="0087186F"/>
    <w:rsid w:val="008725D5"/>
    <w:rsid w:val="00876B73"/>
    <w:rsid w:val="008773DF"/>
    <w:rsid w:val="00877884"/>
    <w:rsid w:val="008812F6"/>
    <w:rsid w:val="008828A9"/>
    <w:rsid w:val="00885065"/>
    <w:rsid w:val="00885CD7"/>
    <w:rsid w:val="00891549"/>
    <w:rsid w:val="00894800"/>
    <w:rsid w:val="00894F80"/>
    <w:rsid w:val="00895C76"/>
    <w:rsid w:val="008A1625"/>
    <w:rsid w:val="008A202C"/>
    <w:rsid w:val="008A3A9F"/>
    <w:rsid w:val="008A5000"/>
    <w:rsid w:val="008A55B4"/>
    <w:rsid w:val="008A5E46"/>
    <w:rsid w:val="008B3677"/>
    <w:rsid w:val="008B4398"/>
    <w:rsid w:val="008C0BFF"/>
    <w:rsid w:val="008C2011"/>
    <w:rsid w:val="008C4106"/>
    <w:rsid w:val="008C4A4D"/>
    <w:rsid w:val="008D0378"/>
    <w:rsid w:val="008D05AC"/>
    <w:rsid w:val="008D14E6"/>
    <w:rsid w:val="008D21C5"/>
    <w:rsid w:val="008D67E2"/>
    <w:rsid w:val="008E01B7"/>
    <w:rsid w:val="008E0E86"/>
    <w:rsid w:val="008E1EC2"/>
    <w:rsid w:val="008E5464"/>
    <w:rsid w:val="008E63DE"/>
    <w:rsid w:val="008E6C7B"/>
    <w:rsid w:val="008F04E3"/>
    <w:rsid w:val="008F26F9"/>
    <w:rsid w:val="008F326F"/>
    <w:rsid w:val="008F3514"/>
    <w:rsid w:val="008F3BEC"/>
    <w:rsid w:val="008F3E81"/>
    <w:rsid w:val="009007BB"/>
    <w:rsid w:val="009015E3"/>
    <w:rsid w:val="00904A88"/>
    <w:rsid w:val="00906DC1"/>
    <w:rsid w:val="009100BE"/>
    <w:rsid w:val="009104E4"/>
    <w:rsid w:val="00912834"/>
    <w:rsid w:val="009136AA"/>
    <w:rsid w:val="009142EE"/>
    <w:rsid w:val="00915311"/>
    <w:rsid w:val="00916346"/>
    <w:rsid w:val="0091702D"/>
    <w:rsid w:val="00917B56"/>
    <w:rsid w:val="009235FD"/>
    <w:rsid w:val="00924432"/>
    <w:rsid w:val="00927E6A"/>
    <w:rsid w:val="009302F9"/>
    <w:rsid w:val="00935623"/>
    <w:rsid w:val="009361DD"/>
    <w:rsid w:val="00936E71"/>
    <w:rsid w:val="00941351"/>
    <w:rsid w:val="00944290"/>
    <w:rsid w:val="009444E9"/>
    <w:rsid w:val="00945550"/>
    <w:rsid w:val="009473B1"/>
    <w:rsid w:val="00952CC7"/>
    <w:rsid w:val="00953E73"/>
    <w:rsid w:val="009548A8"/>
    <w:rsid w:val="00954A7D"/>
    <w:rsid w:val="00955E6C"/>
    <w:rsid w:val="0096095D"/>
    <w:rsid w:val="00960F68"/>
    <w:rsid w:val="00966CEB"/>
    <w:rsid w:val="009744A8"/>
    <w:rsid w:val="00976905"/>
    <w:rsid w:val="00983397"/>
    <w:rsid w:val="00983D5E"/>
    <w:rsid w:val="009859CA"/>
    <w:rsid w:val="00987784"/>
    <w:rsid w:val="0099192A"/>
    <w:rsid w:val="009951DB"/>
    <w:rsid w:val="0099611B"/>
    <w:rsid w:val="0099786E"/>
    <w:rsid w:val="009A15CF"/>
    <w:rsid w:val="009A6396"/>
    <w:rsid w:val="009A7F6C"/>
    <w:rsid w:val="009B0340"/>
    <w:rsid w:val="009B4A4D"/>
    <w:rsid w:val="009B6B78"/>
    <w:rsid w:val="009C1AAB"/>
    <w:rsid w:val="009C53E7"/>
    <w:rsid w:val="009D06D9"/>
    <w:rsid w:val="009D1849"/>
    <w:rsid w:val="009D1F3E"/>
    <w:rsid w:val="009D2488"/>
    <w:rsid w:val="009D42A1"/>
    <w:rsid w:val="009E061D"/>
    <w:rsid w:val="009E1EFE"/>
    <w:rsid w:val="009E39D7"/>
    <w:rsid w:val="009F732A"/>
    <w:rsid w:val="009F7624"/>
    <w:rsid w:val="009F7C1A"/>
    <w:rsid w:val="00A00104"/>
    <w:rsid w:val="00A05A3B"/>
    <w:rsid w:val="00A05D4F"/>
    <w:rsid w:val="00A12E33"/>
    <w:rsid w:val="00A16633"/>
    <w:rsid w:val="00A17A59"/>
    <w:rsid w:val="00A20520"/>
    <w:rsid w:val="00A22E02"/>
    <w:rsid w:val="00A23836"/>
    <w:rsid w:val="00A23C82"/>
    <w:rsid w:val="00A23F97"/>
    <w:rsid w:val="00A27E79"/>
    <w:rsid w:val="00A3197E"/>
    <w:rsid w:val="00A323D9"/>
    <w:rsid w:val="00A35782"/>
    <w:rsid w:val="00A36E89"/>
    <w:rsid w:val="00A43F52"/>
    <w:rsid w:val="00A45F26"/>
    <w:rsid w:val="00A47B10"/>
    <w:rsid w:val="00A511B1"/>
    <w:rsid w:val="00A533BB"/>
    <w:rsid w:val="00A53CA3"/>
    <w:rsid w:val="00A54159"/>
    <w:rsid w:val="00A54363"/>
    <w:rsid w:val="00A63C13"/>
    <w:rsid w:val="00A63C41"/>
    <w:rsid w:val="00A7041A"/>
    <w:rsid w:val="00A72134"/>
    <w:rsid w:val="00A732E8"/>
    <w:rsid w:val="00A73C04"/>
    <w:rsid w:val="00A744AA"/>
    <w:rsid w:val="00A80EF4"/>
    <w:rsid w:val="00A815B6"/>
    <w:rsid w:val="00A82595"/>
    <w:rsid w:val="00A82960"/>
    <w:rsid w:val="00A83205"/>
    <w:rsid w:val="00A83EAD"/>
    <w:rsid w:val="00A85D26"/>
    <w:rsid w:val="00A9069B"/>
    <w:rsid w:val="00A934E5"/>
    <w:rsid w:val="00A9543C"/>
    <w:rsid w:val="00A96382"/>
    <w:rsid w:val="00A97512"/>
    <w:rsid w:val="00AA2177"/>
    <w:rsid w:val="00AA2975"/>
    <w:rsid w:val="00AA3307"/>
    <w:rsid w:val="00AA405E"/>
    <w:rsid w:val="00AA559C"/>
    <w:rsid w:val="00AA6DBC"/>
    <w:rsid w:val="00AB1E8E"/>
    <w:rsid w:val="00AB73BE"/>
    <w:rsid w:val="00AB7AE3"/>
    <w:rsid w:val="00AC4348"/>
    <w:rsid w:val="00AD055E"/>
    <w:rsid w:val="00AD4D16"/>
    <w:rsid w:val="00AD551E"/>
    <w:rsid w:val="00AE1183"/>
    <w:rsid w:val="00AE2281"/>
    <w:rsid w:val="00AF1911"/>
    <w:rsid w:val="00AF2C5A"/>
    <w:rsid w:val="00AF3EC2"/>
    <w:rsid w:val="00B01EB4"/>
    <w:rsid w:val="00B03E06"/>
    <w:rsid w:val="00B042E0"/>
    <w:rsid w:val="00B06D4D"/>
    <w:rsid w:val="00B07DA1"/>
    <w:rsid w:val="00B10FD7"/>
    <w:rsid w:val="00B118A2"/>
    <w:rsid w:val="00B118DB"/>
    <w:rsid w:val="00B14B0E"/>
    <w:rsid w:val="00B165B1"/>
    <w:rsid w:val="00B17A24"/>
    <w:rsid w:val="00B20995"/>
    <w:rsid w:val="00B20DD5"/>
    <w:rsid w:val="00B23DF0"/>
    <w:rsid w:val="00B2413A"/>
    <w:rsid w:val="00B261B4"/>
    <w:rsid w:val="00B26AF2"/>
    <w:rsid w:val="00B34EFA"/>
    <w:rsid w:val="00B41504"/>
    <w:rsid w:val="00B43D4B"/>
    <w:rsid w:val="00B45BD7"/>
    <w:rsid w:val="00B534E4"/>
    <w:rsid w:val="00B53F4C"/>
    <w:rsid w:val="00B621CC"/>
    <w:rsid w:val="00B65915"/>
    <w:rsid w:val="00B707DF"/>
    <w:rsid w:val="00B71B03"/>
    <w:rsid w:val="00B71B7D"/>
    <w:rsid w:val="00B71C1B"/>
    <w:rsid w:val="00B7244F"/>
    <w:rsid w:val="00B72D28"/>
    <w:rsid w:val="00B735F2"/>
    <w:rsid w:val="00B7488B"/>
    <w:rsid w:val="00B74BD1"/>
    <w:rsid w:val="00B80EB7"/>
    <w:rsid w:val="00B853DD"/>
    <w:rsid w:val="00B929C7"/>
    <w:rsid w:val="00B95C65"/>
    <w:rsid w:val="00B96C05"/>
    <w:rsid w:val="00BA3B60"/>
    <w:rsid w:val="00BA7296"/>
    <w:rsid w:val="00BB0438"/>
    <w:rsid w:val="00BB08B3"/>
    <w:rsid w:val="00BB0B97"/>
    <w:rsid w:val="00BB255A"/>
    <w:rsid w:val="00BB33F3"/>
    <w:rsid w:val="00BB348C"/>
    <w:rsid w:val="00BB71E4"/>
    <w:rsid w:val="00BC0C3C"/>
    <w:rsid w:val="00BC1035"/>
    <w:rsid w:val="00BC3592"/>
    <w:rsid w:val="00BC4B5C"/>
    <w:rsid w:val="00BC4C0C"/>
    <w:rsid w:val="00BC5BE9"/>
    <w:rsid w:val="00BD2F1B"/>
    <w:rsid w:val="00BD5090"/>
    <w:rsid w:val="00BD59DD"/>
    <w:rsid w:val="00BE193D"/>
    <w:rsid w:val="00BE5040"/>
    <w:rsid w:val="00BE5658"/>
    <w:rsid w:val="00BF0230"/>
    <w:rsid w:val="00BF2FE7"/>
    <w:rsid w:val="00C01233"/>
    <w:rsid w:val="00C026CF"/>
    <w:rsid w:val="00C06FAC"/>
    <w:rsid w:val="00C07723"/>
    <w:rsid w:val="00C10B36"/>
    <w:rsid w:val="00C23716"/>
    <w:rsid w:val="00C23EB2"/>
    <w:rsid w:val="00C26B75"/>
    <w:rsid w:val="00C26F6A"/>
    <w:rsid w:val="00C2703F"/>
    <w:rsid w:val="00C300F9"/>
    <w:rsid w:val="00C3656F"/>
    <w:rsid w:val="00C424E8"/>
    <w:rsid w:val="00C42F91"/>
    <w:rsid w:val="00C43873"/>
    <w:rsid w:val="00C515AF"/>
    <w:rsid w:val="00C52DC9"/>
    <w:rsid w:val="00C53F61"/>
    <w:rsid w:val="00C552C9"/>
    <w:rsid w:val="00C55A10"/>
    <w:rsid w:val="00C570B3"/>
    <w:rsid w:val="00C607A8"/>
    <w:rsid w:val="00C6190B"/>
    <w:rsid w:val="00C6205C"/>
    <w:rsid w:val="00C676F2"/>
    <w:rsid w:val="00C7123A"/>
    <w:rsid w:val="00C716D9"/>
    <w:rsid w:val="00C71AC0"/>
    <w:rsid w:val="00C71C1D"/>
    <w:rsid w:val="00C74E13"/>
    <w:rsid w:val="00C77250"/>
    <w:rsid w:val="00C85EDB"/>
    <w:rsid w:val="00C872B4"/>
    <w:rsid w:val="00C87B66"/>
    <w:rsid w:val="00C90A71"/>
    <w:rsid w:val="00C919A4"/>
    <w:rsid w:val="00C91FB9"/>
    <w:rsid w:val="00C9251A"/>
    <w:rsid w:val="00C9729A"/>
    <w:rsid w:val="00CA14DE"/>
    <w:rsid w:val="00CA174B"/>
    <w:rsid w:val="00CA2A0E"/>
    <w:rsid w:val="00CA43ED"/>
    <w:rsid w:val="00CA53CC"/>
    <w:rsid w:val="00CA6F3B"/>
    <w:rsid w:val="00CB360B"/>
    <w:rsid w:val="00CB4854"/>
    <w:rsid w:val="00CB67F0"/>
    <w:rsid w:val="00CC0DD0"/>
    <w:rsid w:val="00CC23FA"/>
    <w:rsid w:val="00CC2676"/>
    <w:rsid w:val="00CC3286"/>
    <w:rsid w:val="00CC794F"/>
    <w:rsid w:val="00CD02B8"/>
    <w:rsid w:val="00CD1BC2"/>
    <w:rsid w:val="00CD2321"/>
    <w:rsid w:val="00CD232E"/>
    <w:rsid w:val="00CD2F87"/>
    <w:rsid w:val="00CD37A9"/>
    <w:rsid w:val="00CD5099"/>
    <w:rsid w:val="00CD5175"/>
    <w:rsid w:val="00CE1814"/>
    <w:rsid w:val="00CE1A3F"/>
    <w:rsid w:val="00CE261E"/>
    <w:rsid w:val="00CE29CD"/>
    <w:rsid w:val="00CE2C63"/>
    <w:rsid w:val="00CE4C68"/>
    <w:rsid w:val="00CE6ACE"/>
    <w:rsid w:val="00CF03EA"/>
    <w:rsid w:val="00CF0A72"/>
    <w:rsid w:val="00CF0CDD"/>
    <w:rsid w:val="00CF1EE5"/>
    <w:rsid w:val="00CF2330"/>
    <w:rsid w:val="00CF6504"/>
    <w:rsid w:val="00CF693F"/>
    <w:rsid w:val="00CF70C2"/>
    <w:rsid w:val="00CF768D"/>
    <w:rsid w:val="00D00A48"/>
    <w:rsid w:val="00D02777"/>
    <w:rsid w:val="00D035F9"/>
    <w:rsid w:val="00D135B0"/>
    <w:rsid w:val="00D14699"/>
    <w:rsid w:val="00D1571F"/>
    <w:rsid w:val="00D16C50"/>
    <w:rsid w:val="00D21A05"/>
    <w:rsid w:val="00D21FA0"/>
    <w:rsid w:val="00D225D0"/>
    <w:rsid w:val="00D22CA6"/>
    <w:rsid w:val="00D23D49"/>
    <w:rsid w:val="00D30694"/>
    <w:rsid w:val="00D31F87"/>
    <w:rsid w:val="00D35D9B"/>
    <w:rsid w:val="00D3684C"/>
    <w:rsid w:val="00D36D26"/>
    <w:rsid w:val="00D403FE"/>
    <w:rsid w:val="00D41E5C"/>
    <w:rsid w:val="00D45C0B"/>
    <w:rsid w:val="00D50D4B"/>
    <w:rsid w:val="00D5197D"/>
    <w:rsid w:val="00D5213F"/>
    <w:rsid w:val="00D53B09"/>
    <w:rsid w:val="00D60221"/>
    <w:rsid w:val="00D63F65"/>
    <w:rsid w:val="00D67F8C"/>
    <w:rsid w:val="00D72958"/>
    <w:rsid w:val="00D76EFC"/>
    <w:rsid w:val="00D844D1"/>
    <w:rsid w:val="00D8636B"/>
    <w:rsid w:val="00D902C6"/>
    <w:rsid w:val="00D92392"/>
    <w:rsid w:val="00D93A03"/>
    <w:rsid w:val="00D94108"/>
    <w:rsid w:val="00D96292"/>
    <w:rsid w:val="00DA0060"/>
    <w:rsid w:val="00DA07D9"/>
    <w:rsid w:val="00DA111A"/>
    <w:rsid w:val="00DA4948"/>
    <w:rsid w:val="00DA4A4B"/>
    <w:rsid w:val="00DA758C"/>
    <w:rsid w:val="00DA79DF"/>
    <w:rsid w:val="00DA7C3F"/>
    <w:rsid w:val="00DA7D51"/>
    <w:rsid w:val="00DB08D6"/>
    <w:rsid w:val="00DB335C"/>
    <w:rsid w:val="00DB4354"/>
    <w:rsid w:val="00DB625E"/>
    <w:rsid w:val="00DC118B"/>
    <w:rsid w:val="00DC281E"/>
    <w:rsid w:val="00DC47C9"/>
    <w:rsid w:val="00DC56DB"/>
    <w:rsid w:val="00DC6750"/>
    <w:rsid w:val="00DD19E7"/>
    <w:rsid w:val="00DD1FE9"/>
    <w:rsid w:val="00DD40D4"/>
    <w:rsid w:val="00DE1C5F"/>
    <w:rsid w:val="00DE2789"/>
    <w:rsid w:val="00DE7E36"/>
    <w:rsid w:val="00DF128F"/>
    <w:rsid w:val="00DF1B91"/>
    <w:rsid w:val="00DF4C42"/>
    <w:rsid w:val="00DF5901"/>
    <w:rsid w:val="00DF6C25"/>
    <w:rsid w:val="00E007D6"/>
    <w:rsid w:val="00E00A33"/>
    <w:rsid w:val="00E03994"/>
    <w:rsid w:val="00E05408"/>
    <w:rsid w:val="00E100A6"/>
    <w:rsid w:val="00E111E5"/>
    <w:rsid w:val="00E13701"/>
    <w:rsid w:val="00E140D9"/>
    <w:rsid w:val="00E1514D"/>
    <w:rsid w:val="00E15172"/>
    <w:rsid w:val="00E1793C"/>
    <w:rsid w:val="00E21410"/>
    <w:rsid w:val="00E22864"/>
    <w:rsid w:val="00E25BD2"/>
    <w:rsid w:val="00E27627"/>
    <w:rsid w:val="00E30AE9"/>
    <w:rsid w:val="00E359A5"/>
    <w:rsid w:val="00E3671E"/>
    <w:rsid w:val="00E36770"/>
    <w:rsid w:val="00E3731B"/>
    <w:rsid w:val="00E4218A"/>
    <w:rsid w:val="00E50863"/>
    <w:rsid w:val="00E50D77"/>
    <w:rsid w:val="00E5150B"/>
    <w:rsid w:val="00E53693"/>
    <w:rsid w:val="00E53D2C"/>
    <w:rsid w:val="00E53F08"/>
    <w:rsid w:val="00E554B0"/>
    <w:rsid w:val="00E55B06"/>
    <w:rsid w:val="00E61B90"/>
    <w:rsid w:val="00E63D64"/>
    <w:rsid w:val="00E66913"/>
    <w:rsid w:val="00E70D3A"/>
    <w:rsid w:val="00E74FD8"/>
    <w:rsid w:val="00E768E8"/>
    <w:rsid w:val="00E80170"/>
    <w:rsid w:val="00E81081"/>
    <w:rsid w:val="00E84966"/>
    <w:rsid w:val="00E8638D"/>
    <w:rsid w:val="00E8715D"/>
    <w:rsid w:val="00E90754"/>
    <w:rsid w:val="00E91C19"/>
    <w:rsid w:val="00E9384D"/>
    <w:rsid w:val="00E93D6E"/>
    <w:rsid w:val="00EA04E1"/>
    <w:rsid w:val="00EA10DF"/>
    <w:rsid w:val="00EA3B25"/>
    <w:rsid w:val="00EA6600"/>
    <w:rsid w:val="00EA7BBF"/>
    <w:rsid w:val="00EB120D"/>
    <w:rsid w:val="00EB2EB9"/>
    <w:rsid w:val="00EB6A47"/>
    <w:rsid w:val="00EC517C"/>
    <w:rsid w:val="00EC6C5C"/>
    <w:rsid w:val="00ED0062"/>
    <w:rsid w:val="00ED20D2"/>
    <w:rsid w:val="00ED2733"/>
    <w:rsid w:val="00ED5D5A"/>
    <w:rsid w:val="00ED64F8"/>
    <w:rsid w:val="00EE2121"/>
    <w:rsid w:val="00EE5B16"/>
    <w:rsid w:val="00EF2074"/>
    <w:rsid w:val="00EF2185"/>
    <w:rsid w:val="00EF29E4"/>
    <w:rsid w:val="00EF4EE0"/>
    <w:rsid w:val="00EF5A4A"/>
    <w:rsid w:val="00EF5C16"/>
    <w:rsid w:val="00F0017A"/>
    <w:rsid w:val="00F023F1"/>
    <w:rsid w:val="00F03FF3"/>
    <w:rsid w:val="00F15C9E"/>
    <w:rsid w:val="00F20CD7"/>
    <w:rsid w:val="00F23254"/>
    <w:rsid w:val="00F24B9D"/>
    <w:rsid w:val="00F26091"/>
    <w:rsid w:val="00F26963"/>
    <w:rsid w:val="00F279E6"/>
    <w:rsid w:val="00F27D2B"/>
    <w:rsid w:val="00F31F37"/>
    <w:rsid w:val="00F3298B"/>
    <w:rsid w:val="00F34AA3"/>
    <w:rsid w:val="00F34F5B"/>
    <w:rsid w:val="00F35476"/>
    <w:rsid w:val="00F364AD"/>
    <w:rsid w:val="00F405F2"/>
    <w:rsid w:val="00F42270"/>
    <w:rsid w:val="00F423EA"/>
    <w:rsid w:val="00F51E14"/>
    <w:rsid w:val="00F52644"/>
    <w:rsid w:val="00F544BF"/>
    <w:rsid w:val="00F55FFD"/>
    <w:rsid w:val="00F56C71"/>
    <w:rsid w:val="00F57C98"/>
    <w:rsid w:val="00F67DE4"/>
    <w:rsid w:val="00F73F7F"/>
    <w:rsid w:val="00F777F3"/>
    <w:rsid w:val="00F81E9B"/>
    <w:rsid w:val="00F83BA6"/>
    <w:rsid w:val="00F85365"/>
    <w:rsid w:val="00F86138"/>
    <w:rsid w:val="00F861C6"/>
    <w:rsid w:val="00F86BC1"/>
    <w:rsid w:val="00F90A4A"/>
    <w:rsid w:val="00F9217E"/>
    <w:rsid w:val="00F9245D"/>
    <w:rsid w:val="00F92954"/>
    <w:rsid w:val="00F9622A"/>
    <w:rsid w:val="00F97890"/>
    <w:rsid w:val="00FA0D47"/>
    <w:rsid w:val="00FA2060"/>
    <w:rsid w:val="00FA2123"/>
    <w:rsid w:val="00FA314E"/>
    <w:rsid w:val="00FB3306"/>
    <w:rsid w:val="00FB638D"/>
    <w:rsid w:val="00FB6CC5"/>
    <w:rsid w:val="00FB70B3"/>
    <w:rsid w:val="00FB7CE0"/>
    <w:rsid w:val="00FC0E37"/>
    <w:rsid w:val="00FC0F67"/>
    <w:rsid w:val="00FC1B72"/>
    <w:rsid w:val="00FC3BF2"/>
    <w:rsid w:val="00FD2202"/>
    <w:rsid w:val="00FD263E"/>
    <w:rsid w:val="00FD344C"/>
    <w:rsid w:val="00FE5026"/>
    <w:rsid w:val="00FE5F61"/>
    <w:rsid w:val="00FE7B8F"/>
    <w:rsid w:val="00FF0500"/>
    <w:rsid w:val="00FF14D6"/>
    <w:rsid w:val="00FF5801"/>
    <w:rsid w:val="00FF6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0075a4"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360" w:line="276" w:lineRule="auto"/>
      </w:pPr>
    </w:pPrDefault>
  </w:docDefaults>
  <w:latentStyles w:defLockedState="0" w:defUIPriority="99" w:defSemiHidden="1" w:defUnhideWhenUsed="1" w:defQFormat="0" w:count="267">
    <w:lsdException w:name="Normal" w:semiHidden="0" w:uiPriority="8"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lsdException w:name="Default Paragraph Font" w:uiPriority="1"/>
    <w:lsdException w:name="Body Text" w:semiHidden="0" w:uiPriority="4" w:unhideWhenUsed="0" w:qFormat="1"/>
    <w:lsdException w:name="Subtitle" w:uiPriority="11"/>
    <w:lsdException w:name="Strong" w:semiHidden="0" w:uiPriority="22" w:unhideWhenUsed="0"/>
    <w:lsdException w:name="Emphasis" w:uiPriority="20"/>
    <w:lsdException w:name="Table Grid" w:semiHidden="0" w:uiPriority="59" w:unhideWhenUsed="0"/>
    <w:lsdException w:name="Placeholder Text" w:unhideWhenUsed="0"/>
    <w:lsdException w:name="No Spacing" w:semiHidden="0" w:uiPriority="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8"/>
    <w:qFormat/>
    <w:rsid w:val="008F26F9"/>
    <w:pPr>
      <w:spacing w:after="120"/>
    </w:pPr>
    <w:rPr>
      <w:lang w:val="en-GB"/>
    </w:rPr>
  </w:style>
  <w:style w:type="paragraph" w:styleId="Heading1">
    <w:name w:val="heading 1"/>
    <w:aliases w:val="F8 Main Heading,Chapter Heading,Section Heading"/>
    <w:basedOn w:val="Normal"/>
    <w:next w:val="BodyText"/>
    <w:link w:val="Heading1Char"/>
    <w:qFormat/>
    <w:rsid w:val="00593C42"/>
    <w:pPr>
      <w:keepNext/>
      <w:keepLines/>
      <w:pageBreakBefore/>
      <w:numPr>
        <w:numId w:val="21"/>
      </w:numPr>
      <w:pBdr>
        <w:top w:val="single" w:sz="36" w:space="4" w:color="0075A4"/>
        <w:left w:val="single" w:sz="36" w:space="4" w:color="0075A4"/>
        <w:bottom w:val="single" w:sz="36" w:space="4" w:color="0075A4"/>
        <w:right w:val="single" w:sz="36" w:space="4" w:color="0075A4"/>
      </w:pBdr>
      <w:shd w:val="clear" w:color="auto" w:fill="0075A4"/>
      <w:outlineLvl w:val="0"/>
    </w:pPr>
    <w:rPr>
      <w:rFonts w:asciiTheme="majorHAnsi" w:eastAsiaTheme="majorEastAsia" w:hAnsiTheme="majorHAnsi" w:cstheme="majorBidi"/>
      <w:b/>
      <w:bCs/>
      <w:color w:val="FFFFFF" w:themeColor="background1"/>
      <w:sz w:val="28"/>
      <w:szCs w:val="28"/>
    </w:rPr>
  </w:style>
  <w:style w:type="paragraph" w:styleId="Heading2">
    <w:name w:val="heading 2"/>
    <w:aliases w:val="F7 Sub Heading"/>
    <w:basedOn w:val="Normal"/>
    <w:next w:val="BodyText"/>
    <w:link w:val="Heading2Char"/>
    <w:uiPriority w:val="99"/>
    <w:unhideWhenUsed/>
    <w:qFormat/>
    <w:rsid w:val="00807752"/>
    <w:pPr>
      <w:keepNext/>
      <w:keepLines/>
      <w:numPr>
        <w:ilvl w:val="1"/>
        <w:numId w:val="21"/>
      </w:numPr>
      <w:spacing w:before="200"/>
      <w:ind w:left="576"/>
      <w:outlineLvl w:val="1"/>
    </w:pPr>
    <w:rPr>
      <w:rFonts w:asciiTheme="majorHAnsi" w:eastAsiaTheme="majorEastAsia" w:hAnsiTheme="majorHAnsi" w:cstheme="majorBidi"/>
      <w:b/>
      <w:bCs/>
      <w:color w:val="0075A4"/>
      <w:sz w:val="26"/>
      <w:szCs w:val="26"/>
    </w:rPr>
  </w:style>
  <w:style w:type="paragraph" w:styleId="Heading3">
    <w:name w:val="heading 3"/>
    <w:aliases w:val="F6 Sub sub Heading,para number"/>
    <w:basedOn w:val="Normal"/>
    <w:next w:val="BodyText"/>
    <w:link w:val="Heading3Char"/>
    <w:unhideWhenUsed/>
    <w:qFormat/>
    <w:rsid w:val="003051D3"/>
    <w:pPr>
      <w:keepNext/>
      <w:keepLines/>
      <w:numPr>
        <w:ilvl w:val="2"/>
        <w:numId w:val="21"/>
      </w:numPr>
      <w:spacing w:before="200"/>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qFormat/>
    <w:rsid w:val="003051D3"/>
    <w:pPr>
      <w:keepNext/>
      <w:keepLines/>
      <w:numPr>
        <w:ilvl w:val="3"/>
        <w:numId w:val="2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9"/>
    <w:unhideWhenUsed/>
    <w:qFormat/>
    <w:rsid w:val="003051D3"/>
    <w:pPr>
      <w:numPr>
        <w:ilvl w:val="4"/>
        <w:numId w:val="2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3051D3"/>
    <w:pPr>
      <w:keepNext/>
      <w:keepLines/>
      <w:numPr>
        <w:ilvl w:val="5"/>
        <w:numId w:val="21"/>
      </w:numPr>
      <w:spacing w:before="200" w:after="0"/>
      <w:outlineLvl w:val="5"/>
    </w:pPr>
    <w:rPr>
      <w:rFonts w:asciiTheme="majorHAnsi" w:eastAsiaTheme="majorEastAsia" w:hAnsiTheme="majorHAnsi" w:cstheme="majorBidi"/>
      <w:i/>
      <w:iCs/>
      <w:color w:val="003951" w:themeColor="accent1" w:themeShade="7F"/>
    </w:rPr>
  </w:style>
  <w:style w:type="paragraph" w:styleId="Heading7">
    <w:name w:val="heading 7"/>
    <w:basedOn w:val="Normal"/>
    <w:next w:val="Normal"/>
    <w:link w:val="Heading7Char"/>
    <w:uiPriority w:val="99"/>
    <w:unhideWhenUsed/>
    <w:qFormat/>
    <w:rsid w:val="003051D3"/>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3051D3"/>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051D3"/>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F4 Main Text"/>
    <w:basedOn w:val="Normal"/>
    <w:link w:val="BodyTextChar"/>
    <w:uiPriority w:val="4"/>
    <w:qFormat/>
    <w:rsid w:val="00B45BD7"/>
    <w:rPr>
      <w:rFonts w:ascii="Arial" w:hAnsi="Arial"/>
    </w:rPr>
  </w:style>
  <w:style w:type="character" w:customStyle="1" w:styleId="BodyTextChar">
    <w:name w:val="Body Text Char"/>
    <w:aliases w:val="F4 Main Text Char"/>
    <w:basedOn w:val="DefaultParagraphFont"/>
    <w:link w:val="BodyText"/>
    <w:uiPriority w:val="4"/>
    <w:rsid w:val="00B45BD7"/>
    <w:rPr>
      <w:rFonts w:ascii="Arial" w:hAnsi="Arial"/>
      <w:lang w:val="en-GB"/>
    </w:rPr>
  </w:style>
  <w:style w:type="character" w:customStyle="1" w:styleId="Heading1Char">
    <w:name w:val="Heading 1 Char"/>
    <w:aliases w:val="F8 Main Heading Char,Chapter Heading Char,Section Heading Char"/>
    <w:basedOn w:val="DefaultParagraphFont"/>
    <w:link w:val="Heading1"/>
    <w:rsid w:val="00593C42"/>
    <w:rPr>
      <w:rFonts w:asciiTheme="majorHAnsi" w:eastAsiaTheme="majorEastAsia" w:hAnsiTheme="majorHAnsi" w:cstheme="majorBidi"/>
      <w:b/>
      <w:bCs/>
      <w:color w:val="FFFFFF" w:themeColor="background1"/>
      <w:sz w:val="28"/>
      <w:szCs w:val="28"/>
      <w:shd w:val="clear" w:color="auto" w:fill="0075A4"/>
      <w:lang w:val="en-GB"/>
    </w:rPr>
  </w:style>
  <w:style w:type="character" w:customStyle="1" w:styleId="Heading2Char">
    <w:name w:val="Heading 2 Char"/>
    <w:aliases w:val="F7 Sub Heading Char"/>
    <w:basedOn w:val="DefaultParagraphFont"/>
    <w:link w:val="Heading2"/>
    <w:uiPriority w:val="1"/>
    <w:rsid w:val="00807752"/>
    <w:rPr>
      <w:rFonts w:asciiTheme="majorHAnsi" w:eastAsiaTheme="majorEastAsia" w:hAnsiTheme="majorHAnsi" w:cstheme="majorBidi"/>
      <w:b/>
      <w:bCs/>
      <w:color w:val="0075A4"/>
      <w:sz w:val="26"/>
      <w:szCs w:val="26"/>
      <w:lang w:val="en-GB"/>
    </w:rPr>
  </w:style>
  <w:style w:type="character" w:customStyle="1" w:styleId="Heading3Char">
    <w:name w:val="Heading 3 Char"/>
    <w:aliases w:val="F6 Sub sub Heading Char,para number Char"/>
    <w:basedOn w:val="DefaultParagraphFont"/>
    <w:link w:val="Heading3"/>
    <w:uiPriority w:val="2"/>
    <w:rsid w:val="003051D3"/>
    <w:rPr>
      <w:rFonts w:asciiTheme="majorHAnsi" w:eastAsiaTheme="majorEastAsia" w:hAnsiTheme="majorHAnsi" w:cstheme="majorBidi"/>
      <w:b/>
      <w:bCs/>
      <w:lang w:val="en-GB"/>
    </w:rPr>
  </w:style>
  <w:style w:type="character" w:customStyle="1" w:styleId="Heading4Char">
    <w:name w:val="Heading 4 Char"/>
    <w:basedOn w:val="DefaultParagraphFont"/>
    <w:link w:val="Heading4"/>
    <w:uiPriority w:val="3"/>
    <w:rsid w:val="003051D3"/>
    <w:rPr>
      <w:rFonts w:asciiTheme="majorHAnsi" w:eastAsiaTheme="majorEastAsia" w:hAnsiTheme="majorHAnsi" w:cstheme="majorBidi"/>
      <w:b/>
      <w:bCs/>
      <w:i/>
      <w:iCs/>
      <w:lang w:val="en-GB"/>
    </w:rPr>
  </w:style>
  <w:style w:type="character" w:customStyle="1" w:styleId="Heading5Char">
    <w:name w:val="Heading 5 Char"/>
    <w:basedOn w:val="DefaultParagraphFont"/>
    <w:link w:val="Heading5"/>
    <w:uiPriority w:val="9"/>
    <w:rsid w:val="003051D3"/>
    <w:rPr>
      <w:rFonts w:asciiTheme="majorHAnsi" w:eastAsiaTheme="majorEastAsia" w:hAnsiTheme="majorHAnsi" w:cstheme="majorBidi"/>
      <w:b/>
      <w:bCs/>
      <w:color w:val="7F7F7F" w:themeColor="text1" w:themeTint="80"/>
      <w:lang w:val="en-GB"/>
    </w:rPr>
  </w:style>
  <w:style w:type="character" w:customStyle="1" w:styleId="Heading6Char">
    <w:name w:val="Heading 6 Char"/>
    <w:basedOn w:val="DefaultParagraphFont"/>
    <w:link w:val="Heading6"/>
    <w:uiPriority w:val="9"/>
    <w:rsid w:val="003051D3"/>
    <w:rPr>
      <w:rFonts w:asciiTheme="majorHAnsi" w:eastAsiaTheme="majorEastAsia" w:hAnsiTheme="majorHAnsi" w:cstheme="majorBidi"/>
      <w:i/>
      <w:iCs/>
      <w:color w:val="003951" w:themeColor="accent1" w:themeShade="7F"/>
      <w:lang w:val="en-GB"/>
    </w:rPr>
  </w:style>
  <w:style w:type="character" w:customStyle="1" w:styleId="Heading7Char">
    <w:name w:val="Heading 7 Char"/>
    <w:basedOn w:val="DefaultParagraphFont"/>
    <w:link w:val="Heading7"/>
    <w:uiPriority w:val="9"/>
    <w:semiHidden/>
    <w:rsid w:val="003051D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3051D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051D3"/>
    <w:rPr>
      <w:rFonts w:asciiTheme="majorHAnsi" w:eastAsiaTheme="majorEastAsia" w:hAnsiTheme="majorHAnsi" w:cstheme="majorBidi"/>
      <w:i/>
      <w:iCs/>
      <w:color w:val="404040" w:themeColor="text1" w:themeTint="BF"/>
      <w:sz w:val="20"/>
      <w:szCs w:val="20"/>
      <w:lang w:val="en-GB"/>
    </w:rPr>
  </w:style>
  <w:style w:type="paragraph" w:styleId="BalloonText">
    <w:name w:val="Balloon Text"/>
    <w:basedOn w:val="Normal"/>
    <w:link w:val="BalloonTextChar"/>
    <w:uiPriority w:val="99"/>
    <w:semiHidden/>
    <w:unhideWhenUsed/>
    <w:rsid w:val="000211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1B9"/>
    <w:rPr>
      <w:rFonts w:ascii="Tahoma" w:hAnsi="Tahoma" w:cs="Tahoma"/>
      <w:sz w:val="16"/>
      <w:szCs w:val="16"/>
      <w:lang w:val="en-GB"/>
    </w:rPr>
  </w:style>
  <w:style w:type="paragraph" w:styleId="ListParagraph">
    <w:name w:val="List Paragraph"/>
    <w:aliases w:val="F5 List Paragraph"/>
    <w:basedOn w:val="Normal"/>
    <w:uiPriority w:val="34"/>
    <w:qFormat/>
    <w:rsid w:val="00F279E6"/>
    <w:pPr>
      <w:numPr>
        <w:numId w:val="24"/>
      </w:numPr>
      <w:contextualSpacing/>
    </w:pPr>
  </w:style>
  <w:style w:type="paragraph" w:styleId="TOCHeading">
    <w:name w:val="TOC Heading"/>
    <w:basedOn w:val="Heading1"/>
    <w:next w:val="Normal"/>
    <w:uiPriority w:val="39"/>
    <w:unhideWhenUsed/>
    <w:qFormat/>
    <w:rsid w:val="003051D3"/>
    <w:pPr>
      <w:pageBreakBefore w:val="0"/>
      <w:numPr>
        <w:numId w:val="0"/>
      </w:numPr>
      <w:outlineLvl w:val="9"/>
    </w:pPr>
  </w:style>
  <w:style w:type="paragraph" w:styleId="TOC1">
    <w:name w:val="toc 1"/>
    <w:basedOn w:val="Normal"/>
    <w:next w:val="Normal"/>
    <w:autoRedefine/>
    <w:uiPriority w:val="39"/>
    <w:unhideWhenUsed/>
    <w:rsid w:val="007303CB"/>
    <w:pPr>
      <w:spacing w:after="100"/>
    </w:pPr>
  </w:style>
  <w:style w:type="paragraph" w:styleId="TOC2">
    <w:name w:val="toc 2"/>
    <w:basedOn w:val="Normal"/>
    <w:next w:val="Normal"/>
    <w:autoRedefine/>
    <w:uiPriority w:val="39"/>
    <w:unhideWhenUsed/>
    <w:rsid w:val="007303CB"/>
    <w:pPr>
      <w:spacing w:after="100"/>
      <w:ind w:left="220"/>
    </w:pPr>
  </w:style>
  <w:style w:type="character" w:styleId="Hyperlink">
    <w:name w:val="Hyperlink"/>
    <w:basedOn w:val="DefaultParagraphFont"/>
    <w:uiPriority w:val="99"/>
    <w:unhideWhenUsed/>
    <w:rsid w:val="00642B00"/>
    <w:rPr>
      <w:color w:val="0075A4" w:themeColor="accent1"/>
      <w:u w:val="single"/>
    </w:rPr>
  </w:style>
  <w:style w:type="paragraph" w:customStyle="1" w:styleId="CoverTitle1">
    <w:name w:val="Cover Title 1"/>
    <w:uiPriority w:val="99"/>
    <w:rsid w:val="007303CB"/>
    <w:pPr>
      <w:spacing w:line="960" w:lineRule="exact"/>
    </w:pPr>
    <w:rPr>
      <w:rFonts w:ascii="Arial Black" w:hAnsi="Arial Black"/>
      <w:color w:val="FFFFFF" w:themeColor="background1"/>
      <w:sz w:val="96"/>
      <w:lang w:val="en-GB"/>
    </w:rPr>
  </w:style>
  <w:style w:type="paragraph" w:customStyle="1" w:styleId="DecimalAligned">
    <w:name w:val="Decimal Aligned"/>
    <w:basedOn w:val="Normal"/>
    <w:uiPriority w:val="40"/>
    <w:qFormat/>
    <w:rsid w:val="003051D3"/>
    <w:pPr>
      <w:tabs>
        <w:tab w:val="decimal" w:pos="360"/>
      </w:tabs>
    </w:pPr>
    <w:rPr>
      <w:rFonts w:eastAsiaTheme="minorEastAsia"/>
    </w:rPr>
  </w:style>
  <w:style w:type="paragraph" w:styleId="FootnoteText">
    <w:name w:val="footnote text"/>
    <w:basedOn w:val="Normal"/>
    <w:link w:val="FootnoteTextChar"/>
    <w:uiPriority w:val="99"/>
    <w:unhideWhenUsed/>
    <w:rsid w:val="007303C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7303CB"/>
    <w:rPr>
      <w:rFonts w:eastAsiaTheme="minorEastAsia"/>
      <w:sz w:val="20"/>
      <w:szCs w:val="20"/>
    </w:rPr>
  </w:style>
  <w:style w:type="table" w:customStyle="1" w:styleId="LightShading-Accent11">
    <w:name w:val="Light Shading - Accent 11"/>
    <w:basedOn w:val="TableNormal"/>
    <w:uiPriority w:val="60"/>
    <w:rsid w:val="007303CB"/>
    <w:pPr>
      <w:spacing w:after="0" w:line="240" w:lineRule="auto"/>
    </w:pPr>
    <w:rPr>
      <w:rFonts w:eastAsiaTheme="minorEastAsia"/>
      <w:color w:val="00577A" w:themeColor="accent1" w:themeShade="BF"/>
      <w:lang w:bidi="en-US"/>
    </w:rPr>
    <w:tblPr>
      <w:tblStyleRowBandSize w:val="1"/>
      <w:tblStyleColBandSize w:val="1"/>
      <w:tblBorders>
        <w:top w:val="single" w:sz="8" w:space="0" w:color="0075A4" w:themeColor="accent1"/>
        <w:bottom w:val="single" w:sz="8" w:space="0" w:color="0075A4" w:themeColor="accent1"/>
      </w:tblBorders>
    </w:tblPr>
    <w:tblStylePr w:type="firstRow">
      <w:pPr>
        <w:spacing w:before="0" w:after="0" w:line="240" w:lineRule="auto"/>
      </w:pPr>
      <w:rPr>
        <w:b/>
        <w:bCs/>
      </w:rPr>
      <w:tblPr/>
      <w:tcPr>
        <w:tcBorders>
          <w:top w:val="single" w:sz="8" w:space="0" w:color="0075A4" w:themeColor="accent1"/>
          <w:left w:val="nil"/>
          <w:bottom w:val="single" w:sz="8" w:space="0" w:color="0075A4" w:themeColor="accent1"/>
          <w:right w:val="nil"/>
          <w:insideH w:val="nil"/>
          <w:insideV w:val="nil"/>
        </w:tcBorders>
      </w:tcPr>
    </w:tblStylePr>
    <w:tblStylePr w:type="lastRow">
      <w:pPr>
        <w:spacing w:before="0" w:after="0" w:line="240" w:lineRule="auto"/>
      </w:pPr>
      <w:rPr>
        <w:b/>
        <w:bCs/>
      </w:rPr>
      <w:tblPr/>
      <w:tcPr>
        <w:tcBorders>
          <w:top w:val="single" w:sz="8" w:space="0" w:color="0075A4" w:themeColor="accent1"/>
          <w:left w:val="nil"/>
          <w:bottom w:val="single" w:sz="8" w:space="0" w:color="0075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E6FF" w:themeFill="accent1" w:themeFillTint="3F"/>
      </w:tcPr>
    </w:tblStylePr>
    <w:tblStylePr w:type="band1Horz">
      <w:tblPr/>
      <w:tcPr>
        <w:tcBorders>
          <w:left w:val="nil"/>
          <w:right w:val="nil"/>
          <w:insideH w:val="nil"/>
          <w:insideV w:val="nil"/>
        </w:tcBorders>
        <w:shd w:val="clear" w:color="auto" w:fill="A9E6FF" w:themeFill="accent1" w:themeFillTint="3F"/>
      </w:tcPr>
    </w:tblStylePr>
  </w:style>
  <w:style w:type="table" w:styleId="TableGrid">
    <w:name w:val="Table Grid"/>
    <w:basedOn w:val="TableNormal"/>
    <w:uiPriority w:val="59"/>
    <w:rsid w:val="006C09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MGTable">
    <w:name w:val="BMG Table"/>
    <w:basedOn w:val="TableNormal"/>
    <w:uiPriority w:val="61"/>
    <w:rsid w:val="00B01EB4"/>
    <w:pPr>
      <w:spacing w:before="60" w:after="60" w:line="240" w:lineRule="auto"/>
      <w:jc w:val="center"/>
    </w:pPr>
    <w:rPr>
      <w:sz w:val="20"/>
    </w:rPr>
    <w:tblPr>
      <w:tblStyleRowBandSize w:val="1"/>
      <w:tblStyleColBandSize w:val="1"/>
      <w:tblBorders>
        <w:top w:val="single" w:sz="8" w:space="0" w:color="0075A4" w:themeColor="accent1"/>
        <w:left w:val="single" w:sz="8" w:space="0" w:color="0075A4" w:themeColor="accent1"/>
        <w:bottom w:val="single" w:sz="8" w:space="0" w:color="0075A4" w:themeColor="accent1"/>
        <w:right w:val="single" w:sz="8" w:space="0" w:color="0075A4" w:themeColor="accent1"/>
      </w:tblBorders>
    </w:tblPr>
    <w:tcPr>
      <w:shd w:val="clear" w:color="auto" w:fill="auto"/>
    </w:tcPr>
    <w:tblStylePr w:type="firstRow">
      <w:pPr>
        <w:spacing w:before="0" w:after="0" w:line="240" w:lineRule="auto"/>
      </w:pPr>
      <w:rPr>
        <w:b/>
        <w:bCs/>
        <w:color w:val="FFFFFF" w:themeColor="background1"/>
      </w:rPr>
      <w:tblPr/>
      <w:tcPr>
        <w:shd w:val="clear" w:color="auto" w:fill="0075A4"/>
      </w:tcPr>
    </w:tblStylePr>
    <w:tblStylePr w:type="lastRow">
      <w:pPr>
        <w:wordWrap/>
        <w:spacing w:beforeLines="0" w:afterLines="0" w:line="240" w:lineRule="auto"/>
      </w:pPr>
      <w:rPr>
        <w:b/>
        <w:bCs/>
      </w:rPr>
      <w:tblPr/>
      <w:tcPr>
        <w:tcBorders>
          <w:top w:val="double" w:sz="6" w:space="0" w:color="0075A4" w:themeColor="accent1"/>
          <w:left w:val="single" w:sz="8" w:space="0" w:color="0075A4" w:themeColor="accent1"/>
          <w:bottom w:val="single" w:sz="8" w:space="0" w:color="0075A4" w:themeColor="accent1"/>
          <w:right w:val="single" w:sz="8" w:space="0" w:color="0075A4" w:themeColor="accent1"/>
        </w:tcBorders>
      </w:tcPr>
    </w:tblStylePr>
    <w:tblStylePr w:type="firstCol">
      <w:pPr>
        <w:jc w:val="left"/>
      </w:pPr>
      <w:rPr>
        <w:b/>
        <w:bCs/>
      </w:rPr>
    </w:tblStylePr>
    <w:tblStylePr w:type="lastCol">
      <w:rPr>
        <w:b/>
        <w:bCs/>
      </w:rPr>
    </w:tblStylePr>
    <w:tblStylePr w:type="band1Vert">
      <w:tblPr/>
      <w:tcPr>
        <w:tcBorders>
          <w:top w:val="single" w:sz="8" w:space="0" w:color="0075A4" w:themeColor="accent1"/>
          <w:left w:val="single" w:sz="8" w:space="0" w:color="0075A4" w:themeColor="accent1"/>
          <w:bottom w:val="single" w:sz="8" w:space="0" w:color="0075A4" w:themeColor="accent1"/>
          <w:right w:val="single" w:sz="8" w:space="0" w:color="0075A4" w:themeColor="accent1"/>
        </w:tcBorders>
      </w:tcPr>
    </w:tblStylePr>
    <w:tblStylePr w:type="band1Horz">
      <w:tblPr/>
      <w:tcPr>
        <w:tcBorders>
          <w:top w:val="single" w:sz="8" w:space="0" w:color="0075A4" w:themeColor="accent1"/>
          <w:left w:val="single" w:sz="8" w:space="0" w:color="0075A4" w:themeColor="accent1"/>
          <w:bottom w:val="single" w:sz="8" w:space="0" w:color="0075A4" w:themeColor="accent1"/>
          <w:right w:val="single" w:sz="8" w:space="0" w:color="0075A4" w:themeColor="accent1"/>
        </w:tcBorders>
      </w:tcPr>
    </w:tblStylePr>
  </w:style>
  <w:style w:type="paragraph" w:styleId="NoSpacing">
    <w:name w:val="No Spacing"/>
    <w:link w:val="NoSpacingChar"/>
    <w:uiPriority w:val="8"/>
    <w:qFormat/>
    <w:rsid w:val="003051D3"/>
    <w:pPr>
      <w:spacing w:after="0" w:line="240" w:lineRule="auto"/>
    </w:pPr>
    <w:rPr>
      <w:lang w:val="en-GB"/>
    </w:rPr>
  </w:style>
  <w:style w:type="character" w:customStyle="1" w:styleId="NoSpacingChar">
    <w:name w:val="No Spacing Char"/>
    <w:basedOn w:val="DefaultParagraphFont"/>
    <w:link w:val="NoSpacing"/>
    <w:uiPriority w:val="8"/>
    <w:rsid w:val="003051D3"/>
    <w:rPr>
      <w:lang w:val="en-GB"/>
    </w:rPr>
  </w:style>
  <w:style w:type="paragraph" w:customStyle="1" w:styleId="F11Figure">
    <w:name w:val="F11 Figure"/>
    <w:basedOn w:val="NoSpacing"/>
    <w:next w:val="BodyText"/>
    <w:link w:val="F11FigureChar"/>
    <w:uiPriority w:val="7"/>
    <w:qFormat/>
    <w:rsid w:val="003051D3"/>
    <w:pPr>
      <w:pBdr>
        <w:top w:val="single" w:sz="4" w:space="1" w:color="0075A4" w:themeColor="accent1"/>
        <w:bottom w:val="single" w:sz="4" w:space="1" w:color="0075A4" w:themeColor="accent1"/>
      </w:pBdr>
      <w:spacing w:after="360"/>
    </w:pPr>
    <w:rPr>
      <w:sz w:val="18"/>
    </w:rPr>
  </w:style>
  <w:style w:type="character" w:customStyle="1" w:styleId="F11FigureChar">
    <w:name w:val="F11 Figure Char"/>
    <w:basedOn w:val="NoSpacingChar"/>
    <w:link w:val="F11Figure"/>
    <w:uiPriority w:val="7"/>
    <w:rsid w:val="003051D3"/>
    <w:rPr>
      <w:sz w:val="18"/>
      <w:lang w:val="en-GB"/>
    </w:rPr>
  </w:style>
  <w:style w:type="paragraph" w:styleId="Caption">
    <w:name w:val="caption"/>
    <w:basedOn w:val="Normal"/>
    <w:next w:val="F11Figure"/>
    <w:uiPriority w:val="99"/>
    <w:qFormat/>
    <w:rsid w:val="003051D3"/>
    <w:pPr>
      <w:keepNext/>
      <w:keepLines/>
      <w:spacing w:before="240" w:line="240" w:lineRule="auto"/>
    </w:pPr>
    <w:rPr>
      <w:b/>
      <w:bCs/>
      <w:szCs w:val="18"/>
    </w:rPr>
  </w:style>
  <w:style w:type="paragraph" w:styleId="Header">
    <w:name w:val="header"/>
    <w:basedOn w:val="Normal"/>
    <w:link w:val="HeaderChar"/>
    <w:uiPriority w:val="99"/>
    <w:unhideWhenUsed/>
    <w:rsid w:val="00DA7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9DF"/>
    <w:rPr>
      <w:lang w:val="en-GB"/>
    </w:rPr>
  </w:style>
  <w:style w:type="paragraph" w:styleId="Footer">
    <w:name w:val="footer"/>
    <w:basedOn w:val="Normal"/>
    <w:link w:val="FooterChar"/>
    <w:uiPriority w:val="99"/>
    <w:unhideWhenUsed/>
    <w:rsid w:val="00DA7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9DF"/>
    <w:rPr>
      <w:lang w:val="en-GB"/>
    </w:rPr>
  </w:style>
  <w:style w:type="character" w:styleId="FootnoteReference">
    <w:name w:val="footnote reference"/>
    <w:basedOn w:val="DefaultParagraphFont"/>
    <w:uiPriority w:val="99"/>
    <w:semiHidden/>
    <w:unhideWhenUsed/>
    <w:rsid w:val="001F4A21"/>
    <w:rPr>
      <w:vertAlign w:val="superscript"/>
    </w:rPr>
  </w:style>
  <w:style w:type="character" w:styleId="PlaceholderText">
    <w:name w:val="Placeholder Text"/>
    <w:basedOn w:val="DefaultParagraphFont"/>
    <w:uiPriority w:val="99"/>
    <w:semiHidden/>
    <w:rsid w:val="00143913"/>
    <w:rPr>
      <w:color w:val="808080"/>
    </w:rPr>
  </w:style>
  <w:style w:type="paragraph" w:customStyle="1" w:styleId="DocumentTitle">
    <w:name w:val="Document Title"/>
    <w:basedOn w:val="NoSpacing"/>
    <w:link w:val="DocumentTitleChar"/>
    <w:uiPriority w:val="99"/>
    <w:rsid w:val="006A3AF3"/>
    <w:pPr>
      <w:framePr w:hSpace="187" w:wrap="around" w:vAnchor="page" w:hAnchor="margin" w:y="10456"/>
      <w:spacing w:after="120"/>
    </w:pPr>
    <w:rPr>
      <w:rFonts w:asciiTheme="majorHAnsi" w:eastAsiaTheme="majorEastAsia" w:hAnsiTheme="majorHAnsi" w:cstheme="majorBidi"/>
      <w:b/>
      <w:bCs/>
      <w:color w:val="4A442A" w:themeColor="background2" w:themeShade="40"/>
      <w:sz w:val="56"/>
      <w:szCs w:val="48"/>
    </w:rPr>
  </w:style>
  <w:style w:type="character" w:customStyle="1" w:styleId="DocumentTitleChar">
    <w:name w:val="Document Title Char"/>
    <w:basedOn w:val="NoSpacingChar"/>
    <w:link w:val="DocumentTitle"/>
    <w:uiPriority w:val="99"/>
    <w:rsid w:val="00642B00"/>
    <w:rPr>
      <w:rFonts w:asciiTheme="majorHAnsi" w:eastAsiaTheme="majorEastAsia" w:hAnsiTheme="majorHAnsi" w:cstheme="majorBidi"/>
      <w:b/>
      <w:bCs/>
      <w:color w:val="4A442A" w:themeColor="background2" w:themeShade="40"/>
      <w:sz w:val="56"/>
      <w:szCs w:val="48"/>
      <w:lang w:val="en-GB"/>
    </w:rPr>
  </w:style>
  <w:style w:type="paragraph" w:customStyle="1" w:styleId="DocumentSubtitle">
    <w:name w:val="Document Subtitle"/>
    <w:basedOn w:val="NoSpacing"/>
    <w:link w:val="DocumentSubtitleChar"/>
    <w:uiPriority w:val="99"/>
    <w:rsid w:val="00097328"/>
    <w:pPr>
      <w:framePr w:hSpace="187" w:wrap="around" w:vAnchor="page" w:hAnchor="margin" w:y="10456"/>
      <w:spacing w:after="120"/>
    </w:pPr>
    <w:rPr>
      <w:rFonts w:asciiTheme="majorHAnsi" w:hAnsiTheme="majorHAnsi"/>
      <w:b/>
      <w:color w:val="484329" w:themeColor="background2" w:themeShade="3F"/>
      <w:sz w:val="40"/>
      <w:szCs w:val="28"/>
    </w:rPr>
  </w:style>
  <w:style w:type="character" w:customStyle="1" w:styleId="DocumentSubtitleChar">
    <w:name w:val="Document Subtitle Char"/>
    <w:basedOn w:val="NoSpacingChar"/>
    <w:link w:val="DocumentSubtitle"/>
    <w:uiPriority w:val="99"/>
    <w:rsid w:val="00642B00"/>
    <w:rPr>
      <w:rFonts w:asciiTheme="majorHAnsi" w:hAnsiTheme="majorHAnsi"/>
      <w:b/>
      <w:color w:val="484329" w:themeColor="background2" w:themeShade="3F"/>
      <w:sz w:val="40"/>
      <w:szCs w:val="28"/>
      <w:lang w:val="en-GB"/>
    </w:rPr>
  </w:style>
  <w:style w:type="paragraph" w:styleId="TOC3">
    <w:name w:val="toc 3"/>
    <w:basedOn w:val="Normal"/>
    <w:next w:val="Normal"/>
    <w:autoRedefine/>
    <w:uiPriority w:val="39"/>
    <w:unhideWhenUsed/>
    <w:rsid w:val="00202C25"/>
    <w:pPr>
      <w:spacing w:after="100"/>
      <w:ind w:left="440"/>
    </w:pPr>
  </w:style>
  <w:style w:type="paragraph" w:styleId="Title">
    <w:name w:val="Title"/>
    <w:basedOn w:val="Normal"/>
    <w:next w:val="Normal"/>
    <w:link w:val="TitleChar"/>
    <w:uiPriority w:val="10"/>
    <w:rsid w:val="003051D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051D3"/>
    <w:rPr>
      <w:rFonts w:asciiTheme="majorHAnsi" w:eastAsiaTheme="majorEastAsia" w:hAnsiTheme="majorHAnsi" w:cstheme="majorBidi"/>
      <w:spacing w:val="5"/>
      <w:sz w:val="52"/>
      <w:szCs w:val="52"/>
    </w:rPr>
  </w:style>
  <w:style w:type="character" w:styleId="IntenseEmphasis">
    <w:name w:val="Intense Emphasis"/>
    <w:uiPriority w:val="21"/>
    <w:rsid w:val="003051D3"/>
    <w:rPr>
      <w:b/>
      <w:bCs/>
    </w:rPr>
  </w:style>
  <w:style w:type="paragraph" w:customStyle="1" w:styleId="BoilerText">
    <w:name w:val="Boiler Text"/>
    <w:basedOn w:val="Normal"/>
    <w:link w:val="BoilerTextChar"/>
    <w:uiPriority w:val="8"/>
    <w:qFormat/>
    <w:rsid w:val="00565D83"/>
    <w:pPr>
      <w:pBdr>
        <w:top w:val="single" w:sz="4" w:space="1" w:color="0075A4" w:themeColor="accent1"/>
      </w:pBdr>
    </w:pPr>
    <w:rPr>
      <w:b/>
      <w:sz w:val="32"/>
    </w:rPr>
  </w:style>
  <w:style w:type="character" w:customStyle="1" w:styleId="BoilerTextChar">
    <w:name w:val="Boiler Text Char"/>
    <w:basedOn w:val="DefaultParagraphFont"/>
    <w:link w:val="BoilerText"/>
    <w:uiPriority w:val="8"/>
    <w:rsid w:val="00565D83"/>
    <w:rPr>
      <w:b/>
      <w:sz w:val="32"/>
      <w:lang w:val="en-GB"/>
    </w:rPr>
  </w:style>
  <w:style w:type="paragraph" w:styleId="Quote">
    <w:name w:val="Quote"/>
    <w:basedOn w:val="Normal"/>
    <w:next w:val="Normal"/>
    <w:link w:val="QuoteChar"/>
    <w:uiPriority w:val="29"/>
    <w:qFormat/>
    <w:rsid w:val="00BD2F1B"/>
    <w:pPr>
      <w:ind w:left="1440"/>
    </w:pPr>
    <w:rPr>
      <w:i/>
      <w:iCs/>
      <w:color w:val="000000" w:themeColor="text1"/>
    </w:rPr>
  </w:style>
  <w:style w:type="character" w:customStyle="1" w:styleId="QuoteChar">
    <w:name w:val="Quote Char"/>
    <w:basedOn w:val="DefaultParagraphFont"/>
    <w:link w:val="Quote"/>
    <w:uiPriority w:val="29"/>
    <w:rsid w:val="00BD2F1B"/>
    <w:rPr>
      <w:i/>
      <w:iCs/>
      <w:color w:val="000000" w:themeColor="text1"/>
      <w:lang w:val="en-GB"/>
    </w:rPr>
  </w:style>
  <w:style w:type="paragraph" w:customStyle="1" w:styleId="Tabletitle">
    <w:name w:val="Table title"/>
    <w:basedOn w:val="BodyText"/>
    <w:rsid w:val="004979C8"/>
    <w:pPr>
      <w:spacing w:line="240" w:lineRule="auto"/>
      <w:jc w:val="center"/>
    </w:pPr>
    <w:rPr>
      <w:rFonts w:ascii="Verdana" w:eastAsia="Times New Roman" w:hAnsi="Verdana" w:cs="Times New Roman"/>
      <w:b/>
      <w:shadow/>
      <w:sz w:val="18"/>
      <w:szCs w:val="24"/>
    </w:rPr>
  </w:style>
  <w:style w:type="paragraph" w:customStyle="1" w:styleId="Tabletext">
    <w:name w:val="Table text"/>
    <w:aliases w:val="ttx"/>
    <w:basedOn w:val="Tabletitle"/>
    <w:rsid w:val="004979C8"/>
    <w:pPr>
      <w:spacing w:before="60" w:after="60"/>
      <w:jc w:val="left"/>
    </w:pPr>
    <w:rPr>
      <w:b w:val="0"/>
      <w:shadow w:val="0"/>
    </w:rPr>
  </w:style>
  <w:style w:type="paragraph" w:customStyle="1" w:styleId="F12Numberedparagraph">
    <w:name w:val="F12 Numbered paragraph"/>
    <w:basedOn w:val="BodyText"/>
    <w:link w:val="F12NumberedparagraphChar"/>
    <w:uiPriority w:val="8"/>
    <w:qFormat/>
    <w:rsid w:val="00B53F4C"/>
    <w:pPr>
      <w:numPr>
        <w:numId w:val="41"/>
      </w:numPr>
    </w:pPr>
  </w:style>
  <w:style w:type="character" w:customStyle="1" w:styleId="F12NumberedparagraphChar">
    <w:name w:val="F12 Numbered paragraph Char"/>
    <w:basedOn w:val="BodyTextChar"/>
    <w:link w:val="F12Numberedparagraph"/>
    <w:uiPriority w:val="8"/>
    <w:rsid w:val="00B53F4C"/>
    <w:rPr>
      <w:rFonts w:ascii="Arial" w:hAnsi="Arial"/>
      <w:lang w:val="en-GB"/>
    </w:rPr>
  </w:style>
  <w:style w:type="table" w:customStyle="1" w:styleId="LightList-Accent11">
    <w:name w:val="Light List - Accent 11"/>
    <w:basedOn w:val="TableNormal"/>
    <w:uiPriority w:val="61"/>
    <w:rsid w:val="00B01EB4"/>
    <w:pPr>
      <w:spacing w:before="0" w:after="0" w:line="240" w:lineRule="auto"/>
    </w:pPr>
    <w:tblPr>
      <w:tblStyleRowBandSize w:val="1"/>
      <w:tblStyleColBandSize w:val="1"/>
      <w:tblBorders>
        <w:top w:val="single" w:sz="8" w:space="0" w:color="0075A4" w:themeColor="accent1"/>
        <w:left w:val="single" w:sz="8" w:space="0" w:color="0075A4" w:themeColor="accent1"/>
        <w:bottom w:val="single" w:sz="8" w:space="0" w:color="0075A4" w:themeColor="accent1"/>
        <w:right w:val="single" w:sz="8" w:space="0" w:color="0075A4" w:themeColor="accent1"/>
      </w:tblBorders>
    </w:tblPr>
    <w:tblStylePr w:type="firstRow">
      <w:pPr>
        <w:spacing w:before="0" w:after="0" w:line="240" w:lineRule="auto"/>
      </w:pPr>
      <w:rPr>
        <w:b/>
        <w:bCs/>
        <w:color w:val="FFFFFF" w:themeColor="background1"/>
      </w:rPr>
      <w:tblPr/>
      <w:tcPr>
        <w:shd w:val="clear" w:color="auto" w:fill="0075A4" w:themeFill="accent1"/>
      </w:tcPr>
    </w:tblStylePr>
    <w:tblStylePr w:type="lastRow">
      <w:pPr>
        <w:spacing w:before="0" w:after="0" w:line="240" w:lineRule="auto"/>
      </w:pPr>
      <w:rPr>
        <w:b/>
        <w:bCs/>
      </w:rPr>
      <w:tblPr/>
      <w:tcPr>
        <w:tcBorders>
          <w:top w:val="double" w:sz="6" w:space="0" w:color="0075A4" w:themeColor="accent1"/>
          <w:left w:val="single" w:sz="8" w:space="0" w:color="0075A4" w:themeColor="accent1"/>
          <w:bottom w:val="single" w:sz="8" w:space="0" w:color="0075A4" w:themeColor="accent1"/>
          <w:right w:val="single" w:sz="8" w:space="0" w:color="0075A4" w:themeColor="accent1"/>
        </w:tcBorders>
      </w:tcPr>
    </w:tblStylePr>
    <w:tblStylePr w:type="firstCol">
      <w:rPr>
        <w:b/>
        <w:bCs/>
      </w:rPr>
    </w:tblStylePr>
    <w:tblStylePr w:type="lastCol">
      <w:rPr>
        <w:b/>
        <w:bCs/>
      </w:rPr>
    </w:tblStylePr>
    <w:tblStylePr w:type="band1Vert">
      <w:tblPr/>
      <w:tcPr>
        <w:tcBorders>
          <w:top w:val="single" w:sz="8" w:space="0" w:color="0075A4" w:themeColor="accent1"/>
          <w:left w:val="single" w:sz="8" w:space="0" w:color="0075A4" w:themeColor="accent1"/>
          <w:bottom w:val="single" w:sz="8" w:space="0" w:color="0075A4" w:themeColor="accent1"/>
          <w:right w:val="single" w:sz="8" w:space="0" w:color="0075A4" w:themeColor="accent1"/>
        </w:tcBorders>
      </w:tcPr>
    </w:tblStylePr>
    <w:tblStylePr w:type="band1Horz">
      <w:tblPr/>
      <w:tcPr>
        <w:tcBorders>
          <w:top w:val="single" w:sz="8" w:space="0" w:color="0075A4" w:themeColor="accent1"/>
          <w:left w:val="single" w:sz="8" w:space="0" w:color="0075A4" w:themeColor="accent1"/>
          <w:bottom w:val="single" w:sz="8" w:space="0" w:color="0075A4" w:themeColor="accent1"/>
          <w:right w:val="single" w:sz="8" w:space="0" w:color="0075A4" w:themeColor="accent1"/>
        </w:tcBorders>
      </w:tcPr>
    </w:tblStylePr>
  </w:style>
  <w:style w:type="table" w:styleId="LightList-Accent6">
    <w:name w:val="Light List Accent 6"/>
    <w:basedOn w:val="TableNormal"/>
    <w:uiPriority w:val="61"/>
    <w:rsid w:val="003C0922"/>
    <w:pPr>
      <w:spacing w:before="0" w:after="0" w:line="240" w:lineRule="auto"/>
    </w:pPr>
    <w:tblPr>
      <w:tblStyleRowBandSize w:val="1"/>
      <w:tblStyleColBandSize w:val="1"/>
      <w:tblBorders>
        <w:top w:val="single" w:sz="8" w:space="0" w:color="73A5D8" w:themeColor="accent6"/>
        <w:left w:val="single" w:sz="8" w:space="0" w:color="73A5D8" w:themeColor="accent6"/>
        <w:bottom w:val="single" w:sz="8" w:space="0" w:color="73A5D8" w:themeColor="accent6"/>
        <w:right w:val="single" w:sz="8" w:space="0" w:color="73A5D8" w:themeColor="accent6"/>
      </w:tblBorders>
    </w:tblPr>
    <w:tblStylePr w:type="firstRow">
      <w:pPr>
        <w:spacing w:before="0" w:after="0" w:line="240" w:lineRule="auto"/>
      </w:pPr>
      <w:rPr>
        <w:b/>
        <w:bCs/>
        <w:color w:val="FFFFFF" w:themeColor="background1"/>
      </w:rPr>
      <w:tblPr/>
      <w:tcPr>
        <w:shd w:val="clear" w:color="auto" w:fill="73A5D8" w:themeFill="accent6"/>
      </w:tcPr>
    </w:tblStylePr>
    <w:tblStylePr w:type="lastRow">
      <w:pPr>
        <w:spacing w:before="0" w:after="0" w:line="240" w:lineRule="auto"/>
      </w:pPr>
      <w:rPr>
        <w:b/>
        <w:bCs/>
      </w:rPr>
      <w:tblPr/>
      <w:tcPr>
        <w:tcBorders>
          <w:top w:val="double" w:sz="6" w:space="0" w:color="73A5D8" w:themeColor="accent6"/>
          <w:left w:val="single" w:sz="8" w:space="0" w:color="73A5D8" w:themeColor="accent6"/>
          <w:bottom w:val="single" w:sz="8" w:space="0" w:color="73A5D8" w:themeColor="accent6"/>
          <w:right w:val="single" w:sz="8" w:space="0" w:color="73A5D8" w:themeColor="accent6"/>
        </w:tcBorders>
      </w:tcPr>
    </w:tblStylePr>
    <w:tblStylePr w:type="firstCol">
      <w:rPr>
        <w:b/>
        <w:bCs/>
      </w:rPr>
    </w:tblStylePr>
    <w:tblStylePr w:type="lastCol">
      <w:rPr>
        <w:b/>
        <w:bCs/>
      </w:rPr>
    </w:tblStylePr>
    <w:tblStylePr w:type="band1Vert">
      <w:tblPr/>
      <w:tcPr>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tblStylePr>
    <w:tblStylePr w:type="band1Horz">
      <w:tblPr/>
      <w:tcPr>
        <w:tcBorders>
          <w:top w:val="single" w:sz="8" w:space="0" w:color="73A5D8" w:themeColor="accent6"/>
          <w:left w:val="single" w:sz="8" w:space="0" w:color="73A5D8" w:themeColor="accent6"/>
          <w:bottom w:val="single" w:sz="8" w:space="0" w:color="73A5D8" w:themeColor="accent6"/>
          <w:right w:val="single" w:sz="8" w:space="0" w:color="73A5D8" w:themeColor="accent6"/>
        </w:tcBorders>
      </w:tcPr>
    </w:tblStylePr>
  </w:style>
  <w:style w:type="paragraph" w:styleId="TOC4">
    <w:name w:val="toc 4"/>
    <w:basedOn w:val="Normal"/>
    <w:next w:val="Normal"/>
    <w:autoRedefine/>
    <w:uiPriority w:val="39"/>
    <w:unhideWhenUsed/>
    <w:rsid w:val="00336A30"/>
    <w:pPr>
      <w:spacing w:before="0" w:after="100"/>
      <w:ind w:left="660"/>
    </w:pPr>
    <w:rPr>
      <w:rFonts w:eastAsiaTheme="minorEastAsia"/>
      <w:lang w:eastAsia="en-GB"/>
    </w:rPr>
  </w:style>
  <w:style w:type="paragraph" w:styleId="TOC5">
    <w:name w:val="toc 5"/>
    <w:basedOn w:val="Normal"/>
    <w:next w:val="Normal"/>
    <w:autoRedefine/>
    <w:uiPriority w:val="39"/>
    <w:unhideWhenUsed/>
    <w:rsid w:val="00336A30"/>
    <w:pPr>
      <w:spacing w:before="0" w:after="100"/>
      <w:ind w:left="880"/>
    </w:pPr>
    <w:rPr>
      <w:rFonts w:eastAsiaTheme="minorEastAsia"/>
      <w:lang w:eastAsia="en-GB"/>
    </w:rPr>
  </w:style>
  <w:style w:type="paragraph" w:styleId="TOC6">
    <w:name w:val="toc 6"/>
    <w:basedOn w:val="Normal"/>
    <w:next w:val="Normal"/>
    <w:autoRedefine/>
    <w:uiPriority w:val="39"/>
    <w:unhideWhenUsed/>
    <w:rsid w:val="00336A30"/>
    <w:pPr>
      <w:spacing w:before="0" w:after="100"/>
      <w:ind w:left="1100"/>
    </w:pPr>
    <w:rPr>
      <w:rFonts w:eastAsiaTheme="minorEastAsia"/>
      <w:lang w:eastAsia="en-GB"/>
    </w:rPr>
  </w:style>
  <w:style w:type="paragraph" w:styleId="TOC7">
    <w:name w:val="toc 7"/>
    <w:basedOn w:val="Normal"/>
    <w:next w:val="Normal"/>
    <w:autoRedefine/>
    <w:uiPriority w:val="39"/>
    <w:unhideWhenUsed/>
    <w:rsid w:val="00336A30"/>
    <w:pPr>
      <w:spacing w:before="0" w:after="100"/>
      <w:ind w:left="1320"/>
    </w:pPr>
    <w:rPr>
      <w:rFonts w:eastAsiaTheme="minorEastAsia"/>
      <w:lang w:eastAsia="en-GB"/>
    </w:rPr>
  </w:style>
  <w:style w:type="paragraph" w:styleId="TOC8">
    <w:name w:val="toc 8"/>
    <w:basedOn w:val="Normal"/>
    <w:next w:val="Normal"/>
    <w:autoRedefine/>
    <w:uiPriority w:val="39"/>
    <w:unhideWhenUsed/>
    <w:rsid w:val="00336A30"/>
    <w:pPr>
      <w:spacing w:before="0" w:after="100"/>
      <w:ind w:left="1540"/>
    </w:pPr>
    <w:rPr>
      <w:rFonts w:eastAsiaTheme="minorEastAsia"/>
      <w:lang w:eastAsia="en-GB"/>
    </w:rPr>
  </w:style>
  <w:style w:type="paragraph" w:styleId="TOC9">
    <w:name w:val="toc 9"/>
    <w:basedOn w:val="Normal"/>
    <w:next w:val="Normal"/>
    <w:autoRedefine/>
    <w:uiPriority w:val="39"/>
    <w:unhideWhenUsed/>
    <w:rsid w:val="00336A30"/>
    <w:pPr>
      <w:spacing w:before="0"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54299">
      <w:bodyDiv w:val="1"/>
      <w:marLeft w:val="0"/>
      <w:marRight w:val="0"/>
      <w:marTop w:val="0"/>
      <w:marBottom w:val="0"/>
      <w:divBdr>
        <w:top w:val="none" w:sz="0" w:space="0" w:color="auto"/>
        <w:left w:val="none" w:sz="0" w:space="0" w:color="auto"/>
        <w:bottom w:val="none" w:sz="0" w:space="0" w:color="auto"/>
        <w:right w:val="none" w:sz="0" w:space="0" w:color="auto"/>
      </w:divBdr>
    </w:div>
    <w:div w:id="446392574">
      <w:bodyDiv w:val="1"/>
      <w:marLeft w:val="60"/>
      <w:marRight w:val="60"/>
      <w:marTop w:val="60"/>
      <w:marBottom w:val="15"/>
      <w:divBdr>
        <w:top w:val="none" w:sz="0" w:space="0" w:color="auto"/>
        <w:left w:val="none" w:sz="0" w:space="0" w:color="auto"/>
        <w:bottom w:val="none" w:sz="0" w:space="0" w:color="auto"/>
        <w:right w:val="none" w:sz="0" w:space="0" w:color="auto"/>
      </w:divBdr>
      <w:divsChild>
        <w:div w:id="750732784">
          <w:marLeft w:val="0"/>
          <w:marRight w:val="0"/>
          <w:marTop w:val="0"/>
          <w:marBottom w:val="0"/>
          <w:divBdr>
            <w:top w:val="none" w:sz="0" w:space="0" w:color="auto"/>
            <w:left w:val="none" w:sz="0" w:space="0" w:color="auto"/>
            <w:bottom w:val="none" w:sz="0" w:space="0" w:color="auto"/>
            <w:right w:val="none" w:sz="0" w:space="0" w:color="auto"/>
          </w:divBdr>
        </w:div>
      </w:divsChild>
    </w:div>
    <w:div w:id="481584260">
      <w:bodyDiv w:val="1"/>
      <w:marLeft w:val="0"/>
      <w:marRight w:val="0"/>
      <w:marTop w:val="0"/>
      <w:marBottom w:val="0"/>
      <w:divBdr>
        <w:top w:val="none" w:sz="0" w:space="0" w:color="auto"/>
        <w:left w:val="none" w:sz="0" w:space="0" w:color="auto"/>
        <w:bottom w:val="none" w:sz="0" w:space="0" w:color="auto"/>
        <w:right w:val="none" w:sz="0" w:space="0" w:color="auto"/>
      </w:divBdr>
    </w:div>
    <w:div w:id="659502843">
      <w:bodyDiv w:val="1"/>
      <w:marLeft w:val="0"/>
      <w:marRight w:val="0"/>
      <w:marTop w:val="0"/>
      <w:marBottom w:val="0"/>
      <w:divBdr>
        <w:top w:val="none" w:sz="0" w:space="0" w:color="auto"/>
        <w:left w:val="none" w:sz="0" w:space="0" w:color="auto"/>
        <w:bottom w:val="none" w:sz="0" w:space="0" w:color="auto"/>
        <w:right w:val="none" w:sz="0" w:space="0" w:color="auto"/>
      </w:divBdr>
    </w:div>
    <w:div w:id="703334909">
      <w:bodyDiv w:val="1"/>
      <w:marLeft w:val="60"/>
      <w:marRight w:val="60"/>
      <w:marTop w:val="60"/>
      <w:marBottom w:val="15"/>
      <w:divBdr>
        <w:top w:val="none" w:sz="0" w:space="0" w:color="auto"/>
        <w:left w:val="none" w:sz="0" w:space="0" w:color="auto"/>
        <w:bottom w:val="none" w:sz="0" w:space="0" w:color="auto"/>
        <w:right w:val="none" w:sz="0" w:space="0" w:color="auto"/>
      </w:divBdr>
      <w:divsChild>
        <w:div w:id="1497066121">
          <w:marLeft w:val="0"/>
          <w:marRight w:val="0"/>
          <w:marTop w:val="0"/>
          <w:marBottom w:val="0"/>
          <w:divBdr>
            <w:top w:val="none" w:sz="0" w:space="0" w:color="auto"/>
            <w:left w:val="none" w:sz="0" w:space="0" w:color="auto"/>
            <w:bottom w:val="none" w:sz="0" w:space="0" w:color="auto"/>
            <w:right w:val="none" w:sz="0" w:space="0" w:color="auto"/>
          </w:divBdr>
        </w:div>
      </w:divsChild>
    </w:div>
    <w:div w:id="775060530">
      <w:bodyDiv w:val="1"/>
      <w:marLeft w:val="0"/>
      <w:marRight w:val="0"/>
      <w:marTop w:val="0"/>
      <w:marBottom w:val="0"/>
      <w:divBdr>
        <w:top w:val="none" w:sz="0" w:space="0" w:color="auto"/>
        <w:left w:val="none" w:sz="0" w:space="0" w:color="auto"/>
        <w:bottom w:val="none" w:sz="0" w:space="0" w:color="auto"/>
        <w:right w:val="none" w:sz="0" w:space="0" w:color="auto"/>
      </w:divBdr>
    </w:div>
    <w:div w:id="848180832">
      <w:bodyDiv w:val="1"/>
      <w:marLeft w:val="0"/>
      <w:marRight w:val="0"/>
      <w:marTop w:val="0"/>
      <w:marBottom w:val="0"/>
      <w:divBdr>
        <w:top w:val="none" w:sz="0" w:space="0" w:color="auto"/>
        <w:left w:val="none" w:sz="0" w:space="0" w:color="auto"/>
        <w:bottom w:val="none" w:sz="0" w:space="0" w:color="auto"/>
        <w:right w:val="none" w:sz="0" w:space="0" w:color="auto"/>
      </w:divBdr>
    </w:div>
    <w:div w:id="903947479">
      <w:bodyDiv w:val="1"/>
      <w:marLeft w:val="0"/>
      <w:marRight w:val="0"/>
      <w:marTop w:val="0"/>
      <w:marBottom w:val="0"/>
      <w:divBdr>
        <w:top w:val="none" w:sz="0" w:space="0" w:color="auto"/>
        <w:left w:val="none" w:sz="0" w:space="0" w:color="auto"/>
        <w:bottom w:val="none" w:sz="0" w:space="0" w:color="auto"/>
        <w:right w:val="none" w:sz="0" w:space="0" w:color="auto"/>
      </w:divBdr>
    </w:div>
    <w:div w:id="1018117566">
      <w:bodyDiv w:val="1"/>
      <w:marLeft w:val="0"/>
      <w:marRight w:val="0"/>
      <w:marTop w:val="0"/>
      <w:marBottom w:val="0"/>
      <w:divBdr>
        <w:top w:val="none" w:sz="0" w:space="0" w:color="auto"/>
        <w:left w:val="none" w:sz="0" w:space="0" w:color="auto"/>
        <w:bottom w:val="none" w:sz="0" w:space="0" w:color="auto"/>
        <w:right w:val="none" w:sz="0" w:space="0" w:color="auto"/>
      </w:divBdr>
    </w:div>
    <w:div w:id="1023435476">
      <w:bodyDiv w:val="1"/>
      <w:marLeft w:val="0"/>
      <w:marRight w:val="0"/>
      <w:marTop w:val="0"/>
      <w:marBottom w:val="0"/>
      <w:divBdr>
        <w:top w:val="none" w:sz="0" w:space="0" w:color="auto"/>
        <w:left w:val="none" w:sz="0" w:space="0" w:color="auto"/>
        <w:bottom w:val="none" w:sz="0" w:space="0" w:color="auto"/>
        <w:right w:val="none" w:sz="0" w:space="0" w:color="auto"/>
      </w:divBdr>
    </w:div>
    <w:div w:id="1460033193">
      <w:bodyDiv w:val="1"/>
      <w:marLeft w:val="0"/>
      <w:marRight w:val="0"/>
      <w:marTop w:val="0"/>
      <w:marBottom w:val="0"/>
      <w:divBdr>
        <w:top w:val="none" w:sz="0" w:space="0" w:color="auto"/>
        <w:left w:val="none" w:sz="0" w:space="0" w:color="auto"/>
        <w:bottom w:val="none" w:sz="0" w:space="0" w:color="auto"/>
        <w:right w:val="none" w:sz="0" w:space="0" w:color="auto"/>
      </w:divBdr>
    </w:div>
    <w:div w:id="1583754493">
      <w:bodyDiv w:val="1"/>
      <w:marLeft w:val="0"/>
      <w:marRight w:val="0"/>
      <w:marTop w:val="0"/>
      <w:marBottom w:val="0"/>
      <w:divBdr>
        <w:top w:val="none" w:sz="0" w:space="0" w:color="auto"/>
        <w:left w:val="none" w:sz="0" w:space="0" w:color="auto"/>
        <w:bottom w:val="none" w:sz="0" w:space="0" w:color="auto"/>
        <w:right w:val="none" w:sz="0" w:space="0" w:color="auto"/>
      </w:divBdr>
    </w:div>
    <w:div w:id="1686711045">
      <w:bodyDiv w:val="1"/>
      <w:marLeft w:val="0"/>
      <w:marRight w:val="0"/>
      <w:marTop w:val="0"/>
      <w:marBottom w:val="0"/>
      <w:divBdr>
        <w:top w:val="none" w:sz="0" w:space="0" w:color="auto"/>
        <w:left w:val="none" w:sz="0" w:space="0" w:color="auto"/>
        <w:bottom w:val="none" w:sz="0" w:space="0" w:color="auto"/>
        <w:right w:val="none" w:sz="0" w:space="0" w:color="auto"/>
      </w:divBdr>
    </w:div>
    <w:div w:id="1738818717">
      <w:bodyDiv w:val="1"/>
      <w:marLeft w:val="60"/>
      <w:marRight w:val="60"/>
      <w:marTop w:val="60"/>
      <w:marBottom w:val="15"/>
      <w:divBdr>
        <w:top w:val="none" w:sz="0" w:space="0" w:color="auto"/>
        <w:left w:val="none" w:sz="0" w:space="0" w:color="auto"/>
        <w:bottom w:val="none" w:sz="0" w:space="0" w:color="auto"/>
        <w:right w:val="none" w:sz="0" w:space="0" w:color="auto"/>
      </w:divBdr>
      <w:divsChild>
        <w:div w:id="1598751987">
          <w:marLeft w:val="0"/>
          <w:marRight w:val="0"/>
          <w:marTop w:val="0"/>
          <w:marBottom w:val="0"/>
          <w:divBdr>
            <w:top w:val="none" w:sz="0" w:space="0" w:color="auto"/>
            <w:left w:val="none" w:sz="0" w:space="0" w:color="auto"/>
            <w:bottom w:val="none" w:sz="0" w:space="0" w:color="auto"/>
            <w:right w:val="none" w:sz="0" w:space="0" w:color="auto"/>
          </w:divBdr>
        </w:div>
      </w:divsChild>
    </w:div>
    <w:div w:id="1807166345">
      <w:bodyDiv w:val="1"/>
      <w:marLeft w:val="0"/>
      <w:marRight w:val="0"/>
      <w:marTop w:val="0"/>
      <w:marBottom w:val="0"/>
      <w:divBdr>
        <w:top w:val="none" w:sz="0" w:space="0" w:color="auto"/>
        <w:left w:val="none" w:sz="0" w:space="0" w:color="auto"/>
        <w:bottom w:val="none" w:sz="0" w:space="0" w:color="auto"/>
        <w:right w:val="none" w:sz="0" w:space="0" w:color="auto"/>
      </w:divBdr>
    </w:div>
    <w:div w:id="212364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image" Target="media/image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61" Type="http://schemas.openxmlformats.org/officeDocument/2006/relationships/chart" Target="charts/chart44.xml"/><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chart" Target="charts/chart34.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MG-DATA\ARCHIVEDATA\PROJECTS\Pro_9380\Reporting\Charts%20for%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Pt>
            <c:idx val="3"/>
            <c:invertIfNegative val="0"/>
            <c:bubble3D val="0"/>
            <c:spPr>
              <a:solidFill>
                <a:srgbClr val="FF0000"/>
              </a:solidFill>
            </c:spPr>
          </c:dPt>
          <c:dPt>
            <c:idx val="5"/>
            <c:invertIfNegative val="0"/>
            <c:bubble3D val="0"/>
            <c:spPr>
              <a:solidFill>
                <a:srgbClr val="FF0000"/>
              </a:solidFill>
            </c:spPr>
          </c:dPt>
          <c:cat>
            <c:strRef>
              <c:f>charts!$A$8:$A$16</c:f>
              <c:strCache>
                <c:ptCount val="9"/>
                <c:pt idx="0">
                  <c:v>Boston</c:v>
                </c:pt>
                <c:pt idx="1">
                  <c:v>East Lindsey</c:v>
                </c:pt>
                <c:pt idx="2">
                  <c:v>Lincoln</c:v>
                </c:pt>
                <c:pt idx="3">
                  <c:v>North East Lincolnshire</c:v>
                </c:pt>
                <c:pt idx="4">
                  <c:v>North Kesteven</c:v>
                </c:pt>
                <c:pt idx="5">
                  <c:v>North Lincolnshire</c:v>
                </c:pt>
                <c:pt idx="6">
                  <c:v>South Holland</c:v>
                </c:pt>
                <c:pt idx="7">
                  <c:v>South Kesteven</c:v>
                </c:pt>
                <c:pt idx="8">
                  <c:v>West Lindsey</c:v>
                </c:pt>
              </c:strCache>
            </c:strRef>
          </c:cat>
          <c:val>
            <c:numRef>
              <c:f>charts!$B$8:$B$16</c:f>
              <c:numCache>
                <c:formatCode>0%</c:formatCode>
                <c:ptCount val="9"/>
                <c:pt idx="0">
                  <c:v>6.000000000000013E-2</c:v>
                </c:pt>
                <c:pt idx="1">
                  <c:v>0.16000000000000034</c:v>
                </c:pt>
                <c:pt idx="2">
                  <c:v>9.0000000000000066E-2</c:v>
                </c:pt>
                <c:pt idx="3">
                  <c:v>0.14000000000000001</c:v>
                </c:pt>
                <c:pt idx="4">
                  <c:v>9.0000000000000066E-2</c:v>
                </c:pt>
                <c:pt idx="5">
                  <c:v>0.15000000000000024</c:v>
                </c:pt>
                <c:pt idx="6">
                  <c:v>9.0000000000000066E-2</c:v>
                </c:pt>
                <c:pt idx="7">
                  <c:v>0.14000000000000001</c:v>
                </c:pt>
                <c:pt idx="8">
                  <c:v>8.0000000000000224E-2</c:v>
                </c:pt>
              </c:numCache>
            </c:numRef>
          </c:val>
        </c:ser>
        <c:dLbls>
          <c:showLegendKey val="0"/>
          <c:showVal val="1"/>
          <c:showCatName val="0"/>
          <c:showSerName val="0"/>
          <c:showPercent val="0"/>
          <c:showBubbleSize val="0"/>
        </c:dLbls>
        <c:gapWidth val="40"/>
        <c:axId val="24864640"/>
        <c:axId val="24866176"/>
      </c:barChart>
      <c:catAx>
        <c:axId val="24864640"/>
        <c:scaling>
          <c:orientation val="maxMin"/>
        </c:scaling>
        <c:delete val="0"/>
        <c:axPos val="l"/>
        <c:majorTickMark val="none"/>
        <c:minorTickMark val="none"/>
        <c:tickLblPos val="low"/>
        <c:crossAx val="24866176"/>
        <c:crosses val="autoZero"/>
        <c:auto val="1"/>
        <c:lblAlgn val="ctr"/>
        <c:lblOffset val="100"/>
        <c:noMultiLvlLbl val="0"/>
      </c:catAx>
      <c:valAx>
        <c:axId val="24866176"/>
        <c:scaling>
          <c:orientation val="minMax"/>
        </c:scaling>
        <c:delete val="1"/>
        <c:axPos val="b"/>
        <c:numFmt formatCode="0%" sourceLinked="1"/>
        <c:majorTickMark val="none"/>
        <c:minorTickMark val="none"/>
        <c:tickLblPos val="none"/>
        <c:crossAx val="24864640"/>
        <c:crosses val="max"/>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Pt>
            <c:idx val="5"/>
            <c:invertIfNegative val="0"/>
            <c:bubble3D val="0"/>
            <c:spPr>
              <a:solidFill>
                <a:srgbClr val="FF0000"/>
              </a:solidFill>
            </c:spPr>
          </c:dPt>
          <c:dLbls>
            <c:txPr>
              <a:bodyPr/>
              <a:lstStyle/>
              <a:p>
                <a:pPr>
                  <a:defRPr sz="1050"/>
                </a:pPr>
                <a:endParaRPr lang="en-US"/>
              </a:p>
            </c:txPr>
            <c:showLegendKey val="0"/>
            <c:showVal val="1"/>
            <c:showCatName val="0"/>
            <c:showSerName val="0"/>
            <c:showPercent val="0"/>
            <c:showBubbleSize val="0"/>
            <c:showLeaderLines val="0"/>
          </c:dLbls>
          <c:cat>
            <c:strRef>
              <c:f>charts!$A$219:$A$224</c:f>
              <c:strCache>
                <c:ptCount val="6"/>
                <c:pt idx="0">
                  <c:v>Turnover</c:v>
                </c:pt>
                <c:pt idx="1">
                  <c:v>Profitability</c:v>
                </c:pt>
                <c:pt idx="2">
                  <c:v>Domestic sales</c:v>
                </c:pt>
                <c:pt idx="3">
                  <c:v>Market share</c:v>
                </c:pt>
                <c:pt idx="4">
                  <c:v>Overseas sales*</c:v>
                </c:pt>
                <c:pt idx="5">
                  <c:v>Any increases</c:v>
                </c:pt>
              </c:strCache>
            </c:strRef>
          </c:cat>
          <c:val>
            <c:numRef>
              <c:f>charts!$B$219:$B$224</c:f>
              <c:numCache>
                <c:formatCode>0%</c:formatCode>
                <c:ptCount val="6"/>
                <c:pt idx="0">
                  <c:v>0.55000000000000004</c:v>
                </c:pt>
                <c:pt idx="1">
                  <c:v>0.51</c:v>
                </c:pt>
                <c:pt idx="2">
                  <c:v>0.4</c:v>
                </c:pt>
                <c:pt idx="3">
                  <c:v>0.32000000000000073</c:v>
                </c:pt>
                <c:pt idx="4">
                  <c:v>0.55000000000000004</c:v>
                </c:pt>
                <c:pt idx="5">
                  <c:v>0.65000000000000169</c:v>
                </c:pt>
              </c:numCache>
            </c:numRef>
          </c:val>
        </c:ser>
        <c:dLbls>
          <c:showLegendKey val="0"/>
          <c:showVal val="1"/>
          <c:showCatName val="0"/>
          <c:showSerName val="0"/>
          <c:showPercent val="0"/>
          <c:showBubbleSize val="0"/>
        </c:dLbls>
        <c:gapWidth val="40"/>
        <c:axId val="97569408"/>
        <c:axId val="97575296"/>
      </c:barChart>
      <c:catAx>
        <c:axId val="97569408"/>
        <c:scaling>
          <c:orientation val="maxMin"/>
        </c:scaling>
        <c:delete val="0"/>
        <c:axPos val="l"/>
        <c:majorTickMark val="none"/>
        <c:minorTickMark val="none"/>
        <c:tickLblPos val="low"/>
        <c:txPr>
          <a:bodyPr/>
          <a:lstStyle/>
          <a:p>
            <a:pPr>
              <a:defRPr sz="1050"/>
            </a:pPr>
            <a:endParaRPr lang="en-US"/>
          </a:p>
        </c:txPr>
        <c:crossAx val="97575296"/>
        <c:crosses val="autoZero"/>
        <c:auto val="1"/>
        <c:lblAlgn val="ctr"/>
        <c:lblOffset val="100"/>
        <c:noMultiLvlLbl val="0"/>
      </c:catAx>
      <c:valAx>
        <c:axId val="97575296"/>
        <c:scaling>
          <c:orientation val="minMax"/>
        </c:scaling>
        <c:delete val="1"/>
        <c:axPos val="b"/>
        <c:numFmt formatCode="0%" sourceLinked="1"/>
        <c:majorTickMark val="none"/>
        <c:minorTickMark val="none"/>
        <c:tickLblPos val="none"/>
        <c:crossAx val="97569408"/>
        <c:crosses val="max"/>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Pt>
            <c:idx val="5"/>
            <c:invertIfNegative val="0"/>
            <c:bubble3D val="0"/>
            <c:spPr>
              <a:solidFill>
                <a:srgbClr val="FF0000"/>
              </a:solidFill>
            </c:spPr>
          </c:dPt>
          <c:dLbls>
            <c:txPr>
              <a:bodyPr/>
              <a:lstStyle/>
              <a:p>
                <a:pPr>
                  <a:defRPr sz="1050"/>
                </a:pPr>
                <a:endParaRPr lang="en-US"/>
              </a:p>
            </c:txPr>
            <c:showLegendKey val="0"/>
            <c:showVal val="1"/>
            <c:showCatName val="0"/>
            <c:showSerName val="0"/>
            <c:showPercent val="0"/>
            <c:showBubbleSize val="0"/>
            <c:showLeaderLines val="0"/>
          </c:dLbls>
          <c:cat>
            <c:strRef>
              <c:f>charts!$A$238:$A$243</c:f>
              <c:strCache>
                <c:ptCount val="6"/>
                <c:pt idx="0">
                  <c:v>Turnover</c:v>
                </c:pt>
                <c:pt idx="1">
                  <c:v>Profitability</c:v>
                </c:pt>
                <c:pt idx="2">
                  <c:v>Domestic sales</c:v>
                </c:pt>
                <c:pt idx="3">
                  <c:v>Market share</c:v>
                </c:pt>
                <c:pt idx="4">
                  <c:v>Overseas sales*</c:v>
                </c:pt>
                <c:pt idx="5">
                  <c:v>Expect to experience any increases</c:v>
                </c:pt>
              </c:strCache>
            </c:strRef>
          </c:cat>
          <c:val>
            <c:numRef>
              <c:f>charts!$B$238:$B$243</c:f>
              <c:numCache>
                <c:formatCode>0%</c:formatCode>
                <c:ptCount val="6"/>
                <c:pt idx="0">
                  <c:v>0.66000000000000181</c:v>
                </c:pt>
                <c:pt idx="1">
                  <c:v>0.65000000000000169</c:v>
                </c:pt>
                <c:pt idx="2">
                  <c:v>0.51</c:v>
                </c:pt>
                <c:pt idx="3">
                  <c:v>0.46</c:v>
                </c:pt>
                <c:pt idx="4">
                  <c:v>0.53</c:v>
                </c:pt>
                <c:pt idx="5">
                  <c:v>0.72000000000000064</c:v>
                </c:pt>
              </c:numCache>
            </c:numRef>
          </c:val>
        </c:ser>
        <c:dLbls>
          <c:showLegendKey val="0"/>
          <c:showVal val="1"/>
          <c:showCatName val="0"/>
          <c:showSerName val="0"/>
          <c:showPercent val="0"/>
          <c:showBubbleSize val="0"/>
        </c:dLbls>
        <c:gapWidth val="40"/>
        <c:axId val="97603968"/>
        <c:axId val="97605504"/>
      </c:barChart>
      <c:catAx>
        <c:axId val="97603968"/>
        <c:scaling>
          <c:orientation val="maxMin"/>
        </c:scaling>
        <c:delete val="0"/>
        <c:axPos val="l"/>
        <c:majorTickMark val="none"/>
        <c:minorTickMark val="none"/>
        <c:tickLblPos val="low"/>
        <c:txPr>
          <a:bodyPr/>
          <a:lstStyle/>
          <a:p>
            <a:pPr>
              <a:defRPr sz="1050"/>
            </a:pPr>
            <a:endParaRPr lang="en-US"/>
          </a:p>
        </c:txPr>
        <c:crossAx val="97605504"/>
        <c:crosses val="autoZero"/>
        <c:auto val="1"/>
        <c:lblAlgn val="ctr"/>
        <c:lblOffset val="100"/>
        <c:noMultiLvlLbl val="0"/>
      </c:catAx>
      <c:valAx>
        <c:axId val="97605504"/>
        <c:scaling>
          <c:orientation val="minMax"/>
        </c:scaling>
        <c:delete val="1"/>
        <c:axPos val="b"/>
        <c:numFmt formatCode="0%" sourceLinked="1"/>
        <c:majorTickMark val="none"/>
        <c:minorTickMark val="none"/>
        <c:tickLblPos val="none"/>
        <c:crossAx val="97603968"/>
        <c:crosses val="max"/>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charts!$B$257:$F$257</c:f>
              <c:strCache>
                <c:ptCount val="5"/>
                <c:pt idx="0">
                  <c:v>All private sector employers (1466)</c:v>
                </c:pt>
                <c:pt idx="1">
                  <c:v>2-9 employees (1000)</c:v>
                </c:pt>
                <c:pt idx="2">
                  <c:v>10-24 employees (295)</c:v>
                </c:pt>
                <c:pt idx="3">
                  <c:v>25-99 employees (133)</c:v>
                </c:pt>
                <c:pt idx="4">
                  <c:v>100+ employees (38)</c:v>
                </c:pt>
              </c:strCache>
            </c:strRef>
          </c:cat>
          <c:val>
            <c:numRef>
              <c:f>charts!$B$258:$F$258</c:f>
              <c:numCache>
                <c:formatCode>0%</c:formatCode>
                <c:ptCount val="5"/>
                <c:pt idx="0">
                  <c:v>0.34</c:v>
                </c:pt>
                <c:pt idx="1">
                  <c:v>0.29000000000000031</c:v>
                </c:pt>
                <c:pt idx="2">
                  <c:v>0.44</c:v>
                </c:pt>
                <c:pt idx="3">
                  <c:v>0.46</c:v>
                </c:pt>
                <c:pt idx="4">
                  <c:v>0.78</c:v>
                </c:pt>
              </c:numCache>
            </c:numRef>
          </c:val>
        </c:ser>
        <c:dLbls>
          <c:showLegendKey val="0"/>
          <c:showVal val="1"/>
          <c:showCatName val="0"/>
          <c:showSerName val="0"/>
          <c:showPercent val="0"/>
          <c:showBubbleSize val="0"/>
        </c:dLbls>
        <c:gapWidth val="40"/>
        <c:axId val="97633408"/>
        <c:axId val="97634944"/>
      </c:barChart>
      <c:catAx>
        <c:axId val="97633408"/>
        <c:scaling>
          <c:orientation val="maxMin"/>
        </c:scaling>
        <c:delete val="0"/>
        <c:axPos val="l"/>
        <c:majorTickMark val="none"/>
        <c:minorTickMark val="none"/>
        <c:tickLblPos val="low"/>
        <c:txPr>
          <a:bodyPr/>
          <a:lstStyle/>
          <a:p>
            <a:pPr>
              <a:defRPr sz="1050"/>
            </a:pPr>
            <a:endParaRPr lang="en-US"/>
          </a:p>
        </c:txPr>
        <c:crossAx val="97634944"/>
        <c:crosses val="autoZero"/>
        <c:auto val="1"/>
        <c:lblAlgn val="ctr"/>
        <c:lblOffset val="100"/>
        <c:noMultiLvlLbl val="0"/>
      </c:catAx>
      <c:valAx>
        <c:axId val="97634944"/>
        <c:scaling>
          <c:orientation val="minMax"/>
        </c:scaling>
        <c:delete val="1"/>
        <c:axPos val="b"/>
        <c:numFmt formatCode="0%" sourceLinked="1"/>
        <c:majorTickMark val="none"/>
        <c:minorTickMark val="none"/>
        <c:tickLblPos val="none"/>
        <c:crossAx val="97633408"/>
        <c:crosses val="max"/>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charts!$B$276:$U$276</c:f>
              <c:strCache>
                <c:ptCount val="20"/>
                <c:pt idx="0">
                  <c:v>All private sector employers (1466)</c:v>
                </c:pt>
                <c:pt idx="1">
                  <c:v>2-9 employees (1000)</c:v>
                </c:pt>
                <c:pt idx="2">
                  <c:v>10-24 employees (295)</c:v>
                </c:pt>
                <c:pt idx="3">
                  <c:v>25-99 employees (133)</c:v>
                </c:pt>
                <c:pt idx="4">
                  <c:v>100+ employees (38)</c:v>
                </c:pt>
                <c:pt idx="5">
                  <c:v>Agriculture/fishing (75)</c:v>
                </c:pt>
                <c:pt idx="6">
                  <c:v>Energy/water* (18)</c:v>
                </c:pt>
                <c:pt idx="7">
                  <c:v>Banking/Finance/ Insurance (325)</c:v>
                </c:pt>
                <c:pt idx="8">
                  <c:v>Manufacturing (89)</c:v>
                </c:pt>
                <c:pt idx="9">
                  <c:v>Construction (133)</c:v>
                </c:pt>
                <c:pt idx="10">
                  <c:v>Distribution/hotels/restaurants (461)</c:v>
                </c:pt>
                <c:pt idx="11">
                  <c:v>Transport/communications (95)</c:v>
                </c:pt>
                <c:pt idx="12">
                  <c:v>Other Services (88)</c:v>
                </c:pt>
                <c:pt idx="13">
                  <c:v>Public administration/education/health (182)</c:v>
                </c:pt>
                <c:pt idx="14">
                  <c:v>Agri-food (172)</c:v>
                </c:pt>
                <c:pt idx="15">
                  <c:v>Manufacturing/Engineering (85)</c:v>
                </c:pt>
                <c:pt idx="16">
                  <c:v>Visitor Economy (169)</c:v>
                </c:pt>
                <c:pt idx="17">
                  <c:v>  Renewables (6)</c:v>
                </c:pt>
                <c:pt idx="18">
                  <c:v>Ports &amp; Logistics (30)</c:v>
                </c:pt>
                <c:pt idx="19">
                  <c:v>Health &amp; Care (113)</c:v>
                </c:pt>
              </c:strCache>
            </c:strRef>
          </c:cat>
          <c:val>
            <c:numRef>
              <c:f>charts!$B$277:$U$277</c:f>
              <c:numCache>
                <c:formatCode>0%</c:formatCode>
                <c:ptCount val="20"/>
                <c:pt idx="0">
                  <c:v>0.27</c:v>
                </c:pt>
                <c:pt idx="1">
                  <c:v>0.23</c:v>
                </c:pt>
                <c:pt idx="2">
                  <c:v>0.32000000000000023</c:v>
                </c:pt>
                <c:pt idx="3">
                  <c:v>0.44</c:v>
                </c:pt>
                <c:pt idx="4">
                  <c:v>0.64000000000000046</c:v>
                </c:pt>
                <c:pt idx="5">
                  <c:v>0.27</c:v>
                </c:pt>
                <c:pt idx="6">
                  <c:v>0.31000000000000022</c:v>
                </c:pt>
                <c:pt idx="7">
                  <c:v>0.2900000000000002</c:v>
                </c:pt>
                <c:pt idx="8">
                  <c:v>0.34</c:v>
                </c:pt>
                <c:pt idx="9">
                  <c:v>0.19</c:v>
                </c:pt>
                <c:pt idx="10">
                  <c:v>0.27</c:v>
                </c:pt>
                <c:pt idx="11">
                  <c:v>0.16</c:v>
                </c:pt>
                <c:pt idx="12">
                  <c:v>0.27</c:v>
                </c:pt>
                <c:pt idx="13">
                  <c:v>0.34</c:v>
                </c:pt>
                <c:pt idx="14">
                  <c:v>0.30000000000000021</c:v>
                </c:pt>
                <c:pt idx="15">
                  <c:v>0.27</c:v>
                </c:pt>
                <c:pt idx="16">
                  <c:v>0.2100000000000001</c:v>
                </c:pt>
                <c:pt idx="17">
                  <c:v>0.15000000000000011</c:v>
                </c:pt>
                <c:pt idx="18">
                  <c:v>0.19</c:v>
                </c:pt>
                <c:pt idx="19">
                  <c:v>0.33000000000000035</c:v>
                </c:pt>
              </c:numCache>
            </c:numRef>
          </c:val>
        </c:ser>
        <c:dLbls>
          <c:showLegendKey val="0"/>
          <c:showVal val="1"/>
          <c:showCatName val="0"/>
          <c:showSerName val="0"/>
          <c:showPercent val="0"/>
          <c:showBubbleSize val="0"/>
        </c:dLbls>
        <c:gapWidth val="40"/>
        <c:axId val="95095040"/>
        <c:axId val="95105024"/>
      </c:barChart>
      <c:catAx>
        <c:axId val="95095040"/>
        <c:scaling>
          <c:orientation val="maxMin"/>
        </c:scaling>
        <c:delete val="0"/>
        <c:axPos val="l"/>
        <c:majorTickMark val="none"/>
        <c:minorTickMark val="none"/>
        <c:tickLblPos val="low"/>
        <c:txPr>
          <a:bodyPr/>
          <a:lstStyle/>
          <a:p>
            <a:pPr>
              <a:defRPr sz="1050"/>
            </a:pPr>
            <a:endParaRPr lang="en-US"/>
          </a:p>
        </c:txPr>
        <c:crossAx val="95105024"/>
        <c:crosses val="autoZero"/>
        <c:auto val="1"/>
        <c:lblAlgn val="ctr"/>
        <c:lblOffset val="100"/>
        <c:noMultiLvlLbl val="0"/>
      </c:catAx>
      <c:valAx>
        <c:axId val="95105024"/>
        <c:scaling>
          <c:orientation val="minMax"/>
        </c:scaling>
        <c:delete val="1"/>
        <c:axPos val="b"/>
        <c:numFmt formatCode="0%" sourceLinked="1"/>
        <c:majorTickMark val="none"/>
        <c:minorTickMark val="none"/>
        <c:tickLblPos val="none"/>
        <c:crossAx val="95095040"/>
        <c:crosses val="max"/>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charts!$A$291:$A$306</c:f>
              <c:strCache>
                <c:ptCount val="16"/>
                <c:pt idx="0">
                  <c:v>Suitable low cost premises</c:v>
                </c:pt>
                <c:pt idx="1">
                  <c:v>Access to funding</c:v>
                </c:pt>
                <c:pt idx="2">
                  <c:v>Availability of highly skilled labour</c:v>
                </c:pt>
                <c:pt idx="3">
                  <c:v>Availability of local training</c:v>
                </c:pt>
                <c:pt idx="4">
                  <c:v>Availability of other skills your business needs</c:v>
                </c:pt>
                <c:pt idx="5">
                  <c:v>Support with recruiting staff with the right skills</c:v>
                </c:pt>
                <c:pt idx="6">
                  <c:v>Access to Business Growth programmes</c:v>
                </c:pt>
                <c:pt idx="7">
                  <c:v>Assistance with E-commerce and internet-based technologies</c:v>
                </c:pt>
                <c:pt idx="8">
                  <c:v>Support with tax, national insurance law and payments</c:v>
                </c:pt>
                <c:pt idx="9">
                  <c:v>Access to business mentoring, coaching and networking</c:v>
                </c:pt>
                <c:pt idx="10">
                  <c:v>Support with Planning Regulations and related matters</c:v>
                </c:pt>
                <c:pt idx="11">
                  <c:v>Support with (new product or service development)</c:v>
                </c:pt>
                <c:pt idx="12">
                  <c:v>Support to develop new UK markets</c:v>
                </c:pt>
                <c:pt idx="13">
                  <c:v>Support to develop new export markets</c:v>
                </c:pt>
                <c:pt idx="14">
                  <c:v>Other</c:v>
                </c:pt>
                <c:pt idx="15">
                  <c:v>None of these</c:v>
                </c:pt>
              </c:strCache>
            </c:strRef>
          </c:cat>
          <c:val>
            <c:numRef>
              <c:f>charts!$B$291:$B$306</c:f>
              <c:numCache>
                <c:formatCode>0%</c:formatCode>
                <c:ptCount val="16"/>
                <c:pt idx="0">
                  <c:v>0.58000000000000007</c:v>
                </c:pt>
                <c:pt idx="1">
                  <c:v>0.56000000000000005</c:v>
                </c:pt>
                <c:pt idx="2">
                  <c:v>0.54</c:v>
                </c:pt>
                <c:pt idx="3">
                  <c:v>0.54</c:v>
                </c:pt>
                <c:pt idx="4">
                  <c:v>0.52</c:v>
                </c:pt>
                <c:pt idx="5">
                  <c:v>0.45</c:v>
                </c:pt>
                <c:pt idx="6">
                  <c:v>0.45</c:v>
                </c:pt>
                <c:pt idx="7">
                  <c:v>0.44</c:v>
                </c:pt>
                <c:pt idx="8">
                  <c:v>0.43000000000000038</c:v>
                </c:pt>
                <c:pt idx="9">
                  <c:v>0.41000000000000031</c:v>
                </c:pt>
                <c:pt idx="10">
                  <c:v>0.41000000000000031</c:v>
                </c:pt>
                <c:pt idx="11">
                  <c:v>0.37000000000000038</c:v>
                </c:pt>
                <c:pt idx="12">
                  <c:v>0.35000000000000031</c:v>
                </c:pt>
                <c:pt idx="13">
                  <c:v>0.16</c:v>
                </c:pt>
                <c:pt idx="14">
                  <c:v>6.0000000000000032E-2</c:v>
                </c:pt>
                <c:pt idx="15">
                  <c:v>0.1</c:v>
                </c:pt>
              </c:numCache>
            </c:numRef>
          </c:val>
        </c:ser>
        <c:dLbls>
          <c:showLegendKey val="0"/>
          <c:showVal val="1"/>
          <c:showCatName val="0"/>
          <c:showSerName val="0"/>
          <c:showPercent val="0"/>
          <c:showBubbleSize val="0"/>
        </c:dLbls>
        <c:gapWidth val="40"/>
        <c:axId val="95133696"/>
        <c:axId val="95135232"/>
      </c:barChart>
      <c:catAx>
        <c:axId val="95133696"/>
        <c:scaling>
          <c:orientation val="maxMin"/>
        </c:scaling>
        <c:delete val="0"/>
        <c:axPos val="l"/>
        <c:majorTickMark val="none"/>
        <c:minorTickMark val="none"/>
        <c:tickLblPos val="low"/>
        <c:txPr>
          <a:bodyPr/>
          <a:lstStyle/>
          <a:p>
            <a:pPr>
              <a:defRPr sz="1050"/>
            </a:pPr>
            <a:endParaRPr lang="en-US"/>
          </a:p>
        </c:txPr>
        <c:crossAx val="95135232"/>
        <c:crosses val="autoZero"/>
        <c:auto val="1"/>
        <c:lblAlgn val="ctr"/>
        <c:lblOffset val="100"/>
        <c:noMultiLvlLbl val="0"/>
      </c:catAx>
      <c:valAx>
        <c:axId val="95135232"/>
        <c:scaling>
          <c:orientation val="minMax"/>
        </c:scaling>
        <c:delete val="1"/>
        <c:axPos val="b"/>
        <c:numFmt formatCode="0%" sourceLinked="1"/>
        <c:majorTickMark val="none"/>
        <c:minorTickMark val="none"/>
        <c:tickLblPos val="none"/>
        <c:crossAx val="95133696"/>
        <c:crosses val="max"/>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charts!$A$315:$A$346</c:f>
              <c:strCache>
                <c:ptCount val="32"/>
                <c:pt idx="0">
                  <c:v>County Council/District Council </c:v>
                </c:pt>
                <c:pt idx="1">
                  <c:v>Accountant</c:v>
                </c:pt>
                <c:pt idx="2">
                  <c:v>Web based business advice</c:v>
                </c:pt>
                <c:pt idx="3">
                  <c:v>Head Office/in-house/internally</c:v>
                </c:pt>
                <c:pt idx="4">
                  <c:v>Other Business Owners</c:v>
                </c:pt>
                <c:pt idx="5">
                  <c:v>University/college</c:v>
                </c:pt>
                <c:pt idx="6">
                  <c:v>Internet search/Google</c:v>
                </c:pt>
                <c:pt idx="7">
                  <c:v>District Councils </c:v>
                </c:pt>
                <c:pt idx="8">
                  <c:v>Bank</c:v>
                </c:pt>
                <c:pt idx="9">
                  <c:v>Trade Association</c:v>
                </c:pt>
                <c:pt idx="10">
                  <c:v>Training provider (private sector)</c:v>
                </c:pt>
                <c:pt idx="11">
                  <c:v>Federation of Small Businesses (FSB)</c:v>
                </c:pt>
                <c:pt idx="12">
                  <c:v>Solicitor</c:v>
                </c:pt>
                <c:pt idx="13">
                  <c:v>Central Government department</c:v>
                </c:pt>
                <c:pt idx="14">
                  <c:v>Job Centre Plus</c:v>
                </c:pt>
                <c:pt idx="15">
                  <c:v>Chamber of Commerce</c:v>
                </c:pt>
                <c:pt idx="16">
                  <c:v>Family/ Friends</c:v>
                </c:pt>
                <c:pt idx="17">
                  <c:v>Training provider (public sector)</c:v>
                </c:pt>
                <c:pt idx="18">
                  <c:v>Business Link</c:v>
                </c:pt>
                <c:pt idx="19">
                  <c:v>Advisors/consultants/specialists</c:v>
                </c:pt>
                <c:pt idx="20">
                  <c:v>UK Trade &amp; Investment</c:v>
                </c:pt>
                <c:pt idx="21">
                  <c:v>GLLEP</c:v>
                </c:pt>
                <c:pt idx="22">
                  <c:v>Recruitment Agency</c:v>
                </c:pt>
                <c:pt idx="23">
                  <c:v>Citizen Advice Bureau (CAB)</c:v>
                </c:pt>
                <c:pt idx="24">
                  <c:v>Government website</c:v>
                </c:pt>
                <c:pt idx="25">
                  <c:v>Suppliers</c:v>
                </c:pt>
                <c:pt idx="26">
                  <c:v>Professional bodies</c:v>
                </c:pt>
                <c:pt idx="27">
                  <c:v>Media </c:v>
                </c:pt>
                <c:pt idx="28">
                  <c:v>Business mentors/business support organisations </c:v>
                </c:pt>
                <c:pt idx="29">
                  <c:v>Other</c:v>
                </c:pt>
                <c:pt idx="30">
                  <c:v>Nowhere/not applicable</c:v>
                </c:pt>
                <c:pt idx="31">
                  <c:v>Don't know</c:v>
                </c:pt>
              </c:strCache>
            </c:strRef>
          </c:cat>
          <c:val>
            <c:numRef>
              <c:f>charts!$B$315:$B$346</c:f>
              <c:numCache>
                <c:formatCode>0%</c:formatCode>
                <c:ptCount val="32"/>
                <c:pt idx="0">
                  <c:v>0.16</c:v>
                </c:pt>
                <c:pt idx="1">
                  <c:v>0.14000000000000001</c:v>
                </c:pt>
                <c:pt idx="2">
                  <c:v>0.12000000000000002</c:v>
                </c:pt>
                <c:pt idx="3">
                  <c:v>0.12000000000000002</c:v>
                </c:pt>
                <c:pt idx="4">
                  <c:v>8.0000000000000043E-2</c:v>
                </c:pt>
                <c:pt idx="5">
                  <c:v>6.0000000000000032E-2</c:v>
                </c:pt>
                <c:pt idx="6">
                  <c:v>6.0000000000000032E-2</c:v>
                </c:pt>
                <c:pt idx="7">
                  <c:v>0.05</c:v>
                </c:pt>
                <c:pt idx="8">
                  <c:v>0.05</c:v>
                </c:pt>
                <c:pt idx="9">
                  <c:v>0.05</c:v>
                </c:pt>
                <c:pt idx="10">
                  <c:v>4.0000000000000022E-2</c:v>
                </c:pt>
                <c:pt idx="11">
                  <c:v>4.0000000000000022E-2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1.0000000000000005E-2</c:v>
                </c:pt>
                <c:pt idx="21">
                  <c:v>1.0000000000000005E-2</c:v>
                </c:pt>
                <c:pt idx="22">
                  <c:v>1.0000000000000005E-2</c:v>
                </c:pt>
                <c:pt idx="23">
                  <c:v>1.0000000000000005E-2</c:v>
                </c:pt>
                <c:pt idx="24">
                  <c:v>1.0000000000000005E-2</c:v>
                </c:pt>
                <c:pt idx="25">
                  <c:v>1.0000000000000005E-2</c:v>
                </c:pt>
                <c:pt idx="26">
                  <c:v>1.0000000000000005E-2</c:v>
                </c:pt>
                <c:pt idx="27">
                  <c:v>1.0000000000000005E-2</c:v>
                </c:pt>
                <c:pt idx="28">
                  <c:v>1.0000000000000005E-2</c:v>
                </c:pt>
                <c:pt idx="29">
                  <c:v>2.0000000000000011E-2</c:v>
                </c:pt>
                <c:pt idx="30">
                  <c:v>8.0000000000000043E-2</c:v>
                </c:pt>
                <c:pt idx="31">
                  <c:v>9.0000000000000024E-2</c:v>
                </c:pt>
              </c:numCache>
            </c:numRef>
          </c:val>
        </c:ser>
        <c:dLbls>
          <c:showLegendKey val="0"/>
          <c:showVal val="1"/>
          <c:showCatName val="0"/>
          <c:showSerName val="0"/>
          <c:showPercent val="0"/>
          <c:showBubbleSize val="0"/>
        </c:dLbls>
        <c:gapWidth val="40"/>
        <c:axId val="93984256"/>
        <c:axId val="93985792"/>
      </c:barChart>
      <c:catAx>
        <c:axId val="93984256"/>
        <c:scaling>
          <c:orientation val="maxMin"/>
        </c:scaling>
        <c:delete val="0"/>
        <c:axPos val="l"/>
        <c:majorTickMark val="none"/>
        <c:minorTickMark val="none"/>
        <c:tickLblPos val="low"/>
        <c:txPr>
          <a:bodyPr/>
          <a:lstStyle/>
          <a:p>
            <a:pPr>
              <a:defRPr sz="1050"/>
            </a:pPr>
            <a:endParaRPr lang="en-US"/>
          </a:p>
        </c:txPr>
        <c:crossAx val="93985792"/>
        <c:crosses val="autoZero"/>
        <c:auto val="1"/>
        <c:lblAlgn val="ctr"/>
        <c:lblOffset val="100"/>
        <c:noMultiLvlLbl val="0"/>
      </c:catAx>
      <c:valAx>
        <c:axId val="93985792"/>
        <c:scaling>
          <c:orientation val="minMax"/>
        </c:scaling>
        <c:delete val="1"/>
        <c:axPos val="b"/>
        <c:numFmt formatCode="0%" sourceLinked="1"/>
        <c:majorTickMark val="none"/>
        <c:minorTickMark val="none"/>
        <c:tickLblPos val="none"/>
        <c:crossAx val="93984256"/>
        <c:crosses val="max"/>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charts!$A$355:$A$368</c:f>
              <c:strCache>
                <c:ptCount val="14"/>
                <c:pt idx="0">
                  <c:v>Poor transport infrastructure</c:v>
                </c:pt>
                <c:pt idx="1">
                  <c:v>Lack of capital for investment</c:v>
                </c:pt>
                <c:pt idx="2">
                  <c:v>Poor cash flow</c:v>
                </c:pt>
                <c:pt idx="3">
                  <c:v>Availability of appropriately skilled staff</c:v>
                </c:pt>
                <c:pt idx="4">
                  <c:v>Poor IT infrastructure</c:v>
                </c:pt>
                <c:pt idx="5">
                  <c:v>The way the local planning and development control system operates</c:v>
                </c:pt>
                <c:pt idx="6">
                  <c:v>Poor county profile i.e. in terms of attracting staff from outside the county</c:v>
                </c:pt>
                <c:pt idx="7">
                  <c:v>Lack of available premises/land</c:v>
                </c:pt>
                <c:pt idx="8">
                  <c:v>Availability of appropriate local skills training</c:v>
                </c:pt>
                <c:pt idx="9">
                  <c:v>Lack of business support services</c:v>
                </c:pt>
                <c:pt idx="10">
                  <c:v>Poor sector profile</c:v>
                </c:pt>
                <c:pt idx="11">
                  <c:v>Poor local supply chain</c:v>
                </c:pt>
                <c:pt idx="12">
                  <c:v>Other</c:v>
                </c:pt>
                <c:pt idx="13">
                  <c:v>None</c:v>
                </c:pt>
              </c:strCache>
            </c:strRef>
          </c:cat>
          <c:val>
            <c:numRef>
              <c:f>charts!$B$355:$B$368</c:f>
              <c:numCache>
                <c:formatCode>0%</c:formatCode>
                <c:ptCount val="14"/>
                <c:pt idx="0">
                  <c:v>0.30000000000000032</c:v>
                </c:pt>
                <c:pt idx="1">
                  <c:v>0.25</c:v>
                </c:pt>
                <c:pt idx="2">
                  <c:v>0.24000000000000021</c:v>
                </c:pt>
                <c:pt idx="3">
                  <c:v>0.19</c:v>
                </c:pt>
                <c:pt idx="4">
                  <c:v>0.19</c:v>
                </c:pt>
                <c:pt idx="5">
                  <c:v>0.19</c:v>
                </c:pt>
                <c:pt idx="6">
                  <c:v>0.16</c:v>
                </c:pt>
                <c:pt idx="7">
                  <c:v>0.14000000000000001</c:v>
                </c:pt>
                <c:pt idx="8">
                  <c:v>0.13</c:v>
                </c:pt>
                <c:pt idx="9">
                  <c:v>0.13</c:v>
                </c:pt>
                <c:pt idx="10">
                  <c:v>0.13</c:v>
                </c:pt>
                <c:pt idx="11">
                  <c:v>0.1</c:v>
                </c:pt>
                <c:pt idx="12">
                  <c:v>0.1</c:v>
                </c:pt>
                <c:pt idx="13">
                  <c:v>0.29000000000000031</c:v>
                </c:pt>
              </c:numCache>
            </c:numRef>
          </c:val>
        </c:ser>
        <c:dLbls>
          <c:showLegendKey val="0"/>
          <c:showVal val="1"/>
          <c:showCatName val="0"/>
          <c:showSerName val="0"/>
          <c:showPercent val="0"/>
          <c:showBubbleSize val="0"/>
        </c:dLbls>
        <c:gapWidth val="40"/>
        <c:axId val="94025984"/>
        <c:axId val="94027776"/>
      </c:barChart>
      <c:catAx>
        <c:axId val="94025984"/>
        <c:scaling>
          <c:orientation val="maxMin"/>
        </c:scaling>
        <c:delete val="0"/>
        <c:axPos val="l"/>
        <c:majorTickMark val="none"/>
        <c:minorTickMark val="none"/>
        <c:tickLblPos val="low"/>
        <c:txPr>
          <a:bodyPr/>
          <a:lstStyle/>
          <a:p>
            <a:pPr>
              <a:defRPr sz="1050"/>
            </a:pPr>
            <a:endParaRPr lang="en-US"/>
          </a:p>
        </c:txPr>
        <c:crossAx val="94027776"/>
        <c:crosses val="autoZero"/>
        <c:auto val="1"/>
        <c:lblAlgn val="ctr"/>
        <c:lblOffset val="100"/>
        <c:noMultiLvlLbl val="0"/>
      </c:catAx>
      <c:valAx>
        <c:axId val="94027776"/>
        <c:scaling>
          <c:orientation val="minMax"/>
        </c:scaling>
        <c:delete val="1"/>
        <c:axPos val="b"/>
        <c:numFmt formatCode="0%" sourceLinked="1"/>
        <c:majorTickMark val="none"/>
        <c:minorTickMark val="none"/>
        <c:tickLblPos val="none"/>
        <c:crossAx val="94025984"/>
        <c:crosses val="max"/>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charts!$A$538:$A$551</c:f>
              <c:strCache>
                <c:ptCount val="14"/>
                <c:pt idx="0">
                  <c:v>Poor transport infrastructure</c:v>
                </c:pt>
                <c:pt idx="1">
                  <c:v>Poor cash flow</c:v>
                </c:pt>
                <c:pt idx="2">
                  <c:v>Availability of appropriately skilled staff</c:v>
                </c:pt>
                <c:pt idx="3">
                  <c:v>Lack of capital for investment</c:v>
                </c:pt>
                <c:pt idx="4">
                  <c:v>The way the local planning and development control system operates</c:v>
                </c:pt>
                <c:pt idx="5">
                  <c:v>Poor IT infrastructure</c:v>
                </c:pt>
                <c:pt idx="6">
                  <c:v>Lack of available premises/land</c:v>
                </c:pt>
                <c:pt idx="7">
                  <c:v>Availability of appropriate local skills training</c:v>
                </c:pt>
                <c:pt idx="8">
                  <c:v>Poor local supply chain</c:v>
                </c:pt>
                <c:pt idx="9">
                  <c:v>Poor county profile i.e. in terms of attracting staff from outside the county</c:v>
                </c:pt>
                <c:pt idx="10">
                  <c:v>Lack of business support services</c:v>
                </c:pt>
                <c:pt idx="11">
                  <c:v>Poor sector profile</c:v>
                </c:pt>
                <c:pt idx="12">
                  <c:v>Other</c:v>
                </c:pt>
                <c:pt idx="13">
                  <c:v>None</c:v>
                </c:pt>
              </c:strCache>
            </c:strRef>
          </c:cat>
          <c:val>
            <c:numRef>
              <c:f>charts!$B$538:$B$551</c:f>
              <c:numCache>
                <c:formatCode>0%</c:formatCode>
                <c:ptCount val="14"/>
                <c:pt idx="0">
                  <c:v>0.12000000000000002</c:v>
                </c:pt>
                <c:pt idx="1">
                  <c:v>0.11</c:v>
                </c:pt>
                <c:pt idx="2">
                  <c:v>9.0000000000000024E-2</c:v>
                </c:pt>
                <c:pt idx="3">
                  <c:v>8.0000000000000043E-2</c:v>
                </c:pt>
                <c:pt idx="4">
                  <c:v>6.0000000000000032E-2</c:v>
                </c:pt>
                <c:pt idx="5">
                  <c:v>0.05</c:v>
                </c:pt>
                <c:pt idx="6">
                  <c:v>4.0000000000000022E-2</c:v>
                </c:pt>
                <c:pt idx="7">
                  <c:v>2.0000000000000011E-2</c:v>
                </c:pt>
                <c:pt idx="8">
                  <c:v>2.0000000000000011E-2</c:v>
                </c:pt>
                <c:pt idx="9">
                  <c:v>2.0000000000000011E-2</c:v>
                </c:pt>
                <c:pt idx="10">
                  <c:v>1.0000000000000005E-2</c:v>
                </c:pt>
                <c:pt idx="11">
                  <c:v>1.0000000000000005E-2</c:v>
                </c:pt>
                <c:pt idx="12">
                  <c:v>8.0000000000000043E-2</c:v>
                </c:pt>
                <c:pt idx="13">
                  <c:v>0.29000000000000031</c:v>
                </c:pt>
              </c:numCache>
            </c:numRef>
          </c:val>
        </c:ser>
        <c:dLbls>
          <c:showLegendKey val="0"/>
          <c:showVal val="1"/>
          <c:showCatName val="0"/>
          <c:showSerName val="0"/>
          <c:showPercent val="0"/>
          <c:showBubbleSize val="0"/>
        </c:dLbls>
        <c:gapWidth val="40"/>
        <c:axId val="97389952"/>
        <c:axId val="97408128"/>
      </c:barChart>
      <c:catAx>
        <c:axId val="97389952"/>
        <c:scaling>
          <c:orientation val="maxMin"/>
        </c:scaling>
        <c:delete val="0"/>
        <c:axPos val="l"/>
        <c:majorTickMark val="none"/>
        <c:minorTickMark val="none"/>
        <c:tickLblPos val="low"/>
        <c:txPr>
          <a:bodyPr/>
          <a:lstStyle/>
          <a:p>
            <a:pPr>
              <a:defRPr sz="1050"/>
            </a:pPr>
            <a:endParaRPr lang="en-US"/>
          </a:p>
        </c:txPr>
        <c:crossAx val="97408128"/>
        <c:crosses val="autoZero"/>
        <c:auto val="1"/>
        <c:lblAlgn val="ctr"/>
        <c:lblOffset val="100"/>
        <c:noMultiLvlLbl val="0"/>
      </c:catAx>
      <c:valAx>
        <c:axId val="97408128"/>
        <c:scaling>
          <c:orientation val="minMax"/>
        </c:scaling>
        <c:delete val="1"/>
        <c:axPos val="b"/>
        <c:numFmt formatCode="0%" sourceLinked="1"/>
        <c:majorTickMark val="none"/>
        <c:minorTickMark val="none"/>
        <c:tickLblPos val="none"/>
        <c:crossAx val="97389952"/>
        <c:crosses val="max"/>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dLbl>
              <c:idx val="14"/>
              <c:tx>
                <c:rich>
                  <a:bodyPr/>
                  <a:lstStyle/>
                  <a:p>
                    <a:r>
                      <a:rPr lang="en-US" sz="1050"/>
                      <a:t>*</a:t>
                    </a:r>
                    <a:r>
                      <a:rPr lang="en-US"/>
                      <a:t>%</a:t>
                    </a:r>
                  </a:p>
                </c:rich>
              </c:tx>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charts!$A$380:$A$395</c:f>
              <c:strCache>
                <c:ptCount val="16"/>
                <c:pt idx="0">
                  <c:v>Bank loan</c:v>
                </c:pt>
                <c:pt idx="1">
                  <c:v>Bank overdraft</c:v>
                </c:pt>
                <c:pt idx="2">
                  <c:v>Grant</c:v>
                </c:pt>
                <c:pt idx="3">
                  <c:v>Leasing or hire purchase</c:v>
                </c:pt>
                <c:pt idx="4">
                  <c:v>Mortgage for property purchase or improvement</c:v>
                </c:pt>
                <c:pt idx="5">
                  <c:v>Factoring/invoice discounting (asset based finance)</c:v>
                </c:pt>
                <c:pt idx="6">
                  <c:v>Internal finance (parent company or head office)</c:v>
                </c:pt>
                <c:pt idx="7">
                  <c:v>Loan from peer to peer lending network/crowd funding</c:v>
                </c:pt>
                <c:pt idx="8">
                  <c:v>Loan (various others)</c:v>
                </c:pt>
                <c:pt idx="9">
                  <c:v>Equity investment from venture capitalist (VC/private equity)</c:v>
                </c:pt>
                <c:pt idx="10">
                  <c:v>Credit card finance</c:v>
                </c:pt>
                <c:pt idx="11">
                  <c:v>Equity investment from business angel</c:v>
                </c:pt>
                <c:pt idx="12">
                  <c:v>Loan from a Community Development Finance Institution (CDFI)</c:v>
                </c:pt>
                <c:pt idx="13">
                  <c:v>Loan from family/business partner/directors</c:v>
                </c:pt>
                <c:pt idx="14">
                  <c:v>Equity investment from other shareholders</c:v>
                </c:pt>
                <c:pt idx="15">
                  <c:v>Other</c:v>
                </c:pt>
              </c:strCache>
            </c:strRef>
          </c:cat>
          <c:val>
            <c:numRef>
              <c:f>charts!$B$380:$B$395</c:f>
              <c:numCache>
                <c:formatCode>0%</c:formatCode>
                <c:ptCount val="16"/>
                <c:pt idx="0">
                  <c:v>0.4</c:v>
                </c:pt>
                <c:pt idx="1">
                  <c:v>0.21000000000000021</c:v>
                </c:pt>
                <c:pt idx="2">
                  <c:v>0.18000000000000024</c:v>
                </c:pt>
                <c:pt idx="3">
                  <c:v>7.0000000000000021E-2</c:v>
                </c:pt>
                <c:pt idx="4">
                  <c:v>6.0000000000000032E-2</c:v>
                </c:pt>
                <c:pt idx="5">
                  <c:v>3.0000000000000002E-2</c:v>
                </c:pt>
                <c:pt idx="6">
                  <c:v>3.0000000000000002E-2</c:v>
                </c:pt>
                <c:pt idx="7">
                  <c:v>3.0000000000000002E-2</c:v>
                </c:pt>
                <c:pt idx="8">
                  <c:v>3.0000000000000002E-2</c:v>
                </c:pt>
                <c:pt idx="9">
                  <c:v>2.0000000000000011E-2</c:v>
                </c:pt>
                <c:pt idx="10">
                  <c:v>1.0000000000000005E-2</c:v>
                </c:pt>
                <c:pt idx="11">
                  <c:v>1.0000000000000005E-2</c:v>
                </c:pt>
                <c:pt idx="12">
                  <c:v>1.0000000000000005E-2</c:v>
                </c:pt>
                <c:pt idx="13">
                  <c:v>1.0000000000000005E-2</c:v>
                </c:pt>
                <c:pt idx="14">
                  <c:v>2.0000000000000039E-3</c:v>
                </c:pt>
                <c:pt idx="15">
                  <c:v>0.05</c:v>
                </c:pt>
              </c:numCache>
            </c:numRef>
          </c:val>
        </c:ser>
        <c:dLbls>
          <c:showLegendKey val="0"/>
          <c:showVal val="1"/>
          <c:showCatName val="0"/>
          <c:showSerName val="0"/>
          <c:showPercent val="0"/>
          <c:showBubbleSize val="0"/>
        </c:dLbls>
        <c:gapWidth val="40"/>
        <c:axId val="97428224"/>
        <c:axId val="97429760"/>
      </c:barChart>
      <c:catAx>
        <c:axId val="97428224"/>
        <c:scaling>
          <c:orientation val="maxMin"/>
        </c:scaling>
        <c:delete val="0"/>
        <c:axPos val="l"/>
        <c:majorTickMark val="none"/>
        <c:minorTickMark val="none"/>
        <c:tickLblPos val="low"/>
        <c:txPr>
          <a:bodyPr/>
          <a:lstStyle/>
          <a:p>
            <a:pPr>
              <a:defRPr sz="1050"/>
            </a:pPr>
            <a:endParaRPr lang="en-US"/>
          </a:p>
        </c:txPr>
        <c:crossAx val="97429760"/>
        <c:crosses val="autoZero"/>
        <c:auto val="1"/>
        <c:lblAlgn val="ctr"/>
        <c:lblOffset val="100"/>
        <c:noMultiLvlLbl val="0"/>
      </c:catAx>
      <c:valAx>
        <c:axId val="97429760"/>
        <c:scaling>
          <c:orientation val="minMax"/>
        </c:scaling>
        <c:delete val="1"/>
        <c:axPos val="b"/>
        <c:numFmt formatCode="0%" sourceLinked="1"/>
        <c:majorTickMark val="none"/>
        <c:minorTickMark val="none"/>
        <c:tickLblPos val="none"/>
        <c:crossAx val="97428224"/>
        <c:crosses val="max"/>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dLbl>
              <c:idx val="10"/>
              <c:tx>
                <c:rich>
                  <a:bodyPr/>
                  <a:lstStyle/>
                  <a:p>
                    <a:r>
                      <a:rPr lang="en-US" sz="1050"/>
                      <a:t>*</a:t>
                    </a:r>
                    <a:r>
                      <a:rPr lang="en-US"/>
                      <a:t>%</a:t>
                    </a:r>
                  </a:p>
                </c:rich>
              </c:tx>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charts!$A$405:$A$416</c:f>
              <c:strCache>
                <c:ptCount val="12"/>
                <c:pt idx="0">
                  <c:v>Business expansion/growth</c:v>
                </c:pt>
                <c:pt idx="1">
                  <c:v>Working capital, cash flow</c:v>
                </c:pt>
                <c:pt idx="2">
                  <c:v>Capital equipment or vehicles</c:v>
                </c:pt>
                <c:pt idx="3">
                  <c:v>Improving buildings</c:v>
                </c:pt>
                <c:pt idx="4">
                  <c:v>To start the business</c:v>
                </c:pt>
                <c:pt idx="5">
                  <c:v>Buying land or buildings</c:v>
                </c:pt>
                <c:pt idx="6">
                  <c:v>Research &amp; Development</c:v>
                </c:pt>
                <c:pt idx="7">
                  <c:v>Training/staff development</c:v>
                </c:pt>
                <c:pt idx="8">
                  <c:v>Marketing</c:v>
                </c:pt>
                <c:pt idx="9">
                  <c:v>Management buy out</c:v>
                </c:pt>
                <c:pt idx="10">
                  <c:v>Buying another business</c:v>
                </c:pt>
                <c:pt idx="11">
                  <c:v>Other</c:v>
                </c:pt>
              </c:strCache>
            </c:strRef>
          </c:cat>
          <c:val>
            <c:numRef>
              <c:f>charts!$B$405:$B$416</c:f>
              <c:numCache>
                <c:formatCode>0%</c:formatCode>
                <c:ptCount val="12"/>
                <c:pt idx="0">
                  <c:v>0.36000000000000032</c:v>
                </c:pt>
                <c:pt idx="1">
                  <c:v>0.26</c:v>
                </c:pt>
                <c:pt idx="2">
                  <c:v>0.17</c:v>
                </c:pt>
                <c:pt idx="3">
                  <c:v>7.0000000000000021E-2</c:v>
                </c:pt>
                <c:pt idx="4">
                  <c:v>6.0000000000000032E-2</c:v>
                </c:pt>
                <c:pt idx="5">
                  <c:v>6.0000000000000032E-2</c:v>
                </c:pt>
                <c:pt idx="6">
                  <c:v>3.0000000000000002E-2</c:v>
                </c:pt>
                <c:pt idx="7">
                  <c:v>3.0000000000000002E-2</c:v>
                </c:pt>
                <c:pt idx="8">
                  <c:v>1.0000000000000005E-2</c:v>
                </c:pt>
                <c:pt idx="9">
                  <c:v>1.0000000000000005E-2</c:v>
                </c:pt>
                <c:pt idx="10">
                  <c:v>3.0000000000000044E-3</c:v>
                </c:pt>
                <c:pt idx="11">
                  <c:v>4.0000000000000022E-2</c:v>
                </c:pt>
              </c:numCache>
            </c:numRef>
          </c:val>
        </c:ser>
        <c:dLbls>
          <c:showLegendKey val="0"/>
          <c:showVal val="1"/>
          <c:showCatName val="0"/>
          <c:showSerName val="0"/>
          <c:showPercent val="0"/>
          <c:showBubbleSize val="0"/>
        </c:dLbls>
        <c:gapWidth val="40"/>
        <c:axId val="97785728"/>
        <c:axId val="97787264"/>
      </c:barChart>
      <c:catAx>
        <c:axId val="97785728"/>
        <c:scaling>
          <c:orientation val="maxMin"/>
        </c:scaling>
        <c:delete val="0"/>
        <c:axPos val="l"/>
        <c:majorTickMark val="none"/>
        <c:minorTickMark val="none"/>
        <c:tickLblPos val="low"/>
        <c:txPr>
          <a:bodyPr/>
          <a:lstStyle/>
          <a:p>
            <a:pPr>
              <a:defRPr sz="1050"/>
            </a:pPr>
            <a:endParaRPr lang="en-US"/>
          </a:p>
        </c:txPr>
        <c:crossAx val="97787264"/>
        <c:crosses val="autoZero"/>
        <c:auto val="1"/>
        <c:lblAlgn val="ctr"/>
        <c:lblOffset val="100"/>
        <c:noMultiLvlLbl val="0"/>
      </c:catAx>
      <c:valAx>
        <c:axId val="97787264"/>
        <c:scaling>
          <c:orientation val="minMax"/>
        </c:scaling>
        <c:delete val="1"/>
        <c:axPos val="b"/>
        <c:numFmt formatCode="0%" sourceLinked="1"/>
        <c:majorTickMark val="none"/>
        <c:minorTickMark val="none"/>
        <c:tickLblPos val="none"/>
        <c:crossAx val="97785728"/>
        <c:crosses val="max"/>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charts!$A$27:$A$33</c:f>
              <c:strCache>
                <c:ptCount val="7"/>
                <c:pt idx="0">
                  <c:v>Less than 6 months</c:v>
                </c:pt>
                <c:pt idx="1">
                  <c:v>Between 6 months and 1 year</c:v>
                </c:pt>
                <c:pt idx="2">
                  <c:v>1 – 2 years</c:v>
                </c:pt>
                <c:pt idx="3">
                  <c:v>2 – 5 years</c:v>
                </c:pt>
                <c:pt idx="4">
                  <c:v>5 – 10 years</c:v>
                </c:pt>
                <c:pt idx="5">
                  <c:v>11 – 20 years</c:v>
                </c:pt>
                <c:pt idx="6">
                  <c:v>More than 20 years</c:v>
                </c:pt>
              </c:strCache>
            </c:strRef>
          </c:cat>
          <c:val>
            <c:numRef>
              <c:f>charts!$B$27:$B$33</c:f>
              <c:numCache>
                <c:formatCode>0%</c:formatCode>
                <c:ptCount val="7"/>
                <c:pt idx="0">
                  <c:v>1.0000000000000005E-2</c:v>
                </c:pt>
                <c:pt idx="1">
                  <c:v>2.0000000000000011E-2</c:v>
                </c:pt>
                <c:pt idx="2">
                  <c:v>3.0000000000000002E-2</c:v>
                </c:pt>
                <c:pt idx="3">
                  <c:v>9.0000000000000024E-2</c:v>
                </c:pt>
                <c:pt idx="4">
                  <c:v>0.19</c:v>
                </c:pt>
                <c:pt idx="5">
                  <c:v>0.21000000000000021</c:v>
                </c:pt>
                <c:pt idx="6">
                  <c:v>0.45</c:v>
                </c:pt>
              </c:numCache>
            </c:numRef>
          </c:val>
        </c:ser>
        <c:dLbls>
          <c:showLegendKey val="0"/>
          <c:showVal val="1"/>
          <c:showCatName val="0"/>
          <c:showSerName val="0"/>
          <c:showPercent val="0"/>
          <c:showBubbleSize val="0"/>
        </c:dLbls>
        <c:gapWidth val="40"/>
        <c:axId val="24898560"/>
        <c:axId val="24900352"/>
      </c:barChart>
      <c:catAx>
        <c:axId val="24898560"/>
        <c:scaling>
          <c:orientation val="maxMin"/>
        </c:scaling>
        <c:delete val="0"/>
        <c:axPos val="l"/>
        <c:majorTickMark val="none"/>
        <c:minorTickMark val="none"/>
        <c:tickLblPos val="low"/>
        <c:txPr>
          <a:bodyPr/>
          <a:lstStyle/>
          <a:p>
            <a:pPr>
              <a:defRPr sz="1050"/>
            </a:pPr>
            <a:endParaRPr lang="en-US"/>
          </a:p>
        </c:txPr>
        <c:crossAx val="24900352"/>
        <c:crosses val="autoZero"/>
        <c:auto val="1"/>
        <c:lblAlgn val="ctr"/>
        <c:lblOffset val="100"/>
        <c:noMultiLvlLbl val="0"/>
      </c:catAx>
      <c:valAx>
        <c:axId val="24900352"/>
        <c:scaling>
          <c:orientation val="minMax"/>
        </c:scaling>
        <c:delete val="1"/>
        <c:axPos val="b"/>
        <c:numFmt formatCode="0%" sourceLinked="1"/>
        <c:majorTickMark val="none"/>
        <c:minorTickMark val="none"/>
        <c:tickLblPos val="none"/>
        <c:crossAx val="24898560"/>
        <c:crosses val="max"/>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charts!$A$428:$A$440</c:f>
              <c:strCache>
                <c:ptCount val="13"/>
                <c:pt idx="0">
                  <c:v>Did not meet criteria</c:v>
                </c:pt>
                <c:pt idx="1">
                  <c:v>Finance unavailable</c:v>
                </c:pt>
                <c:pt idx="2">
                  <c:v>Company has rejected the terms of finance offered</c:v>
                </c:pt>
                <c:pt idx="3">
                  <c:v>Business sector considered too risky to invest in</c:v>
                </c:pt>
                <c:pt idx="4">
                  <c:v>Time length/ delays</c:v>
                </c:pt>
                <c:pt idx="5">
                  <c:v>Inadequate business plans</c:v>
                </c:pt>
                <c:pt idx="6">
                  <c:v>Applied for too much</c:v>
                </c:pt>
                <c:pt idx="7">
                  <c:v>No credit history/not been in business long enough</c:v>
                </c:pt>
                <c:pt idx="8">
                  <c:v>Poor business credit history</c:v>
                </c:pt>
                <c:pt idx="9">
                  <c:v>Business too small/too new</c:v>
                </c:pt>
                <c:pt idx="10">
                  <c:v>Insufficient/no security</c:v>
                </c:pt>
                <c:pt idx="11">
                  <c:v>Other</c:v>
                </c:pt>
                <c:pt idx="12">
                  <c:v>Nothing</c:v>
                </c:pt>
              </c:strCache>
            </c:strRef>
          </c:cat>
          <c:val>
            <c:numRef>
              <c:f>charts!$B$428:$B$440</c:f>
              <c:numCache>
                <c:formatCode>0%</c:formatCode>
                <c:ptCount val="13"/>
                <c:pt idx="0">
                  <c:v>0.27</c:v>
                </c:pt>
                <c:pt idx="1">
                  <c:v>0.21000000000000021</c:v>
                </c:pt>
                <c:pt idx="2">
                  <c:v>0.11</c:v>
                </c:pt>
                <c:pt idx="3">
                  <c:v>7.0000000000000021E-2</c:v>
                </c:pt>
                <c:pt idx="4">
                  <c:v>7.0000000000000021E-2</c:v>
                </c:pt>
                <c:pt idx="5">
                  <c:v>6.0000000000000032E-2</c:v>
                </c:pt>
                <c:pt idx="6">
                  <c:v>6.0000000000000032E-2</c:v>
                </c:pt>
                <c:pt idx="7">
                  <c:v>0.05</c:v>
                </c:pt>
                <c:pt idx="8">
                  <c:v>4.0000000000000022E-2</c:v>
                </c:pt>
                <c:pt idx="9">
                  <c:v>3.0000000000000002E-2</c:v>
                </c:pt>
                <c:pt idx="10">
                  <c:v>1.0000000000000005E-2</c:v>
                </c:pt>
                <c:pt idx="11">
                  <c:v>0.15000000000000024</c:v>
                </c:pt>
                <c:pt idx="12">
                  <c:v>2.0000000000000011E-2</c:v>
                </c:pt>
              </c:numCache>
            </c:numRef>
          </c:val>
        </c:ser>
        <c:dLbls>
          <c:showLegendKey val="0"/>
          <c:showVal val="1"/>
          <c:showCatName val="0"/>
          <c:showSerName val="0"/>
          <c:showPercent val="0"/>
          <c:showBubbleSize val="0"/>
        </c:dLbls>
        <c:gapWidth val="40"/>
        <c:axId val="97803264"/>
        <c:axId val="97825536"/>
      </c:barChart>
      <c:catAx>
        <c:axId val="97803264"/>
        <c:scaling>
          <c:orientation val="maxMin"/>
        </c:scaling>
        <c:delete val="0"/>
        <c:axPos val="l"/>
        <c:majorTickMark val="none"/>
        <c:minorTickMark val="none"/>
        <c:tickLblPos val="low"/>
        <c:txPr>
          <a:bodyPr/>
          <a:lstStyle/>
          <a:p>
            <a:pPr>
              <a:defRPr sz="1050"/>
            </a:pPr>
            <a:endParaRPr lang="en-US"/>
          </a:p>
        </c:txPr>
        <c:crossAx val="97825536"/>
        <c:crosses val="autoZero"/>
        <c:auto val="1"/>
        <c:lblAlgn val="ctr"/>
        <c:lblOffset val="100"/>
        <c:noMultiLvlLbl val="0"/>
      </c:catAx>
      <c:valAx>
        <c:axId val="97825536"/>
        <c:scaling>
          <c:orientation val="minMax"/>
        </c:scaling>
        <c:delete val="1"/>
        <c:axPos val="b"/>
        <c:numFmt formatCode="0%" sourceLinked="1"/>
        <c:majorTickMark val="none"/>
        <c:minorTickMark val="none"/>
        <c:tickLblPos val="none"/>
        <c:crossAx val="97803264"/>
        <c:crosses val="max"/>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7755159915355474"/>
          <c:y val="0.10650878255602669"/>
          <c:w val="0.59217787431743441"/>
          <c:h val="0.86094165152433066"/>
        </c:manualLayout>
      </c:layout>
      <c:barChart>
        <c:barDir val="bar"/>
        <c:grouping val="clustered"/>
        <c:varyColors val="0"/>
        <c:ser>
          <c:idx val="0"/>
          <c:order val="0"/>
          <c:tx>
            <c:strRef>
              <c:f>charts!$P$451</c:f>
              <c:strCache>
                <c:ptCount val="1"/>
                <c:pt idx="0">
                  <c:v>All private sector employers (1466)</c:v>
                </c:pt>
              </c:strCache>
            </c:strRef>
          </c:tx>
          <c:invertIfNegative val="0"/>
          <c:dLbls>
            <c:txPr>
              <a:bodyPr/>
              <a:lstStyle/>
              <a:p>
                <a:pPr>
                  <a:defRPr sz="1100"/>
                </a:pPr>
                <a:endParaRPr lang="en-US"/>
              </a:p>
            </c:txPr>
            <c:showLegendKey val="0"/>
            <c:showVal val="1"/>
            <c:showCatName val="0"/>
            <c:showSerName val="0"/>
            <c:showPercent val="0"/>
            <c:showBubbleSize val="0"/>
            <c:showLeaderLines val="0"/>
          </c:dLbls>
          <c:cat>
            <c:strRef>
              <c:f>charts!$O$452:$O$460</c:f>
              <c:strCache>
                <c:ptCount val="9"/>
                <c:pt idx="0">
                  <c:v>Plant/machinery/equipment</c:v>
                </c:pt>
                <c:pt idx="1">
                  <c:v>New products</c:v>
                </c:pt>
                <c:pt idx="2">
                  <c:v>New technologies</c:v>
                </c:pt>
                <c:pt idx="3">
                  <c:v>Expanding or moving premises</c:v>
                </c:pt>
                <c:pt idx="4">
                  <c:v>Research and development</c:v>
                </c:pt>
                <c:pt idx="5">
                  <c:v>Training</c:v>
                </c:pt>
                <c:pt idx="6">
                  <c:v>Flood defense</c:v>
                </c:pt>
                <c:pt idx="7">
                  <c:v>Any other areas</c:v>
                </c:pt>
                <c:pt idx="8">
                  <c:v>Expect to invest in any</c:v>
                </c:pt>
              </c:strCache>
            </c:strRef>
          </c:cat>
          <c:val>
            <c:numRef>
              <c:f>charts!$P$452:$P$460</c:f>
              <c:numCache>
                <c:formatCode>0%</c:formatCode>
                <c:ptCount val="9"/>
                <c:pt idx="0">
                  <c:v>0.49000000000000032</c:v>
                </c:pt>
                <c:pt idx="1">
                  <c:v>0.47000000000000008</c:v>
                </c:pt>
                <c:pt idx="2">
                  <c:v>0.5</c:v>
                </c:pt>
                <c:pt idx="3">
                  <c:v>0.24000000000000021</c:v>
                </c:pt>
                <c:pt idx="4">
                  <c:v>0.25</c:v>
                </c:pt>
                <c:pt idx="5">
                  <c:v>0.61000000000000065</c:v>
                </c:pt>
                <c:pt idx="6">
                  <c:v>6.0000000000000032E-2</c:v>
                </c:pt>
                <c:pt idx="7">
                  <c:v>6.0000000000000032E-2</c:v>
                </c:pt>
                <c:pt idx="8">
                  <c:v>0.84000000000000064</c:v>
                </c:pt>
              </c:numCache>
            </c:numRef>
          </c:val>
        </c:ser>
        <c:ser>
          <c:idx val="1"/>
          <c:order val="1"/>
          <c:tx>
            <c:strRef>
              <c:f>charts!$Q$451</c:f>
              <c:strCache>
                <c:ptCount val="1"/>
                <c:pt idx="0">
                  <c:v>2-9 employees (1000)</c:v>
                </c:pt>
              </c:strCache>
            </c:strRef>
          </c:tx>
          <c:invertIfNegative val="0"/>
          <c:dLbls>
            <c:dLbl>
              <c:idx val="2"/>
              <c:spPr/>
              <c:txPr>
                <a:bodyPr/>
                <a:lstStyle/>
                <a:p>
                  <a:pPr>
                    <a:defRPr sz="1050" i="1"/>
                  </a:pPr>
                  <a:endParaRPr lang="en-US"/>
                </a:p>
              </c:txPr>
              <c:showLegendKey val="0"/>
              <c:showVal val="1"/>
              <c:showCatName val="0"/>
              <c:showSerName val="0"/>
              <c:showPercent val="0"/>
              <c:showBubbleSize val="0"/>
            </c:dLbl>
            <c:dLbl>
              <c:idx val="3"/>
              <c:spPr/>
              <c:txPr>
                <a:bodyPr/>
                <a:lstStyle/>
                <a:p>
                  <a:pPr>
                    <a:defRPr sz="1050" i="1"/>
                  </a:pPr>
                  <a:endParaRPr lang="en-US"/>
                </a:p>
              </c:txPr>
              <c:showLegendKey val="0"/>
              <c:showVal val="1"/>
              <c:showCatName val="0"/>
              <c:showSerName val="0"/>
              <c:showPercent val="0"/>
              <c:showBubbleSize val="0"/>
            </c:dLbl>
            <c:dLbl>
              <c:idx val="4"/>
              <c:spPr/>
              <c:txPr>
                <a:bodyPr/>
                <a:lstStyle/>
                <a:p>
                  <a:pPr>
                    <a:defRPr sz="1050" i="1"/>
                  </a:pPr>
                  <a:endParaRPr lang="en-US"/>
                </a:p>
              </c:txPr>
              <c:showLegendKey val="0"/>
              <c:showVal val="1"/>
              <c:showCatName val="0"/>
              <c:showSerName val="0"/>
              <c:showPercent val="0"/>
              <c:showBubbleSize val="0"/>
            </c:dLbl>
            <c:dLbl>
              <c:idx val="5"/>
              <c:spPr/>
              <c:txPr>
                <a:bodyPr/>
                <a:lstStyle/>
                <a:p>
                  <a:pPr>
                    <a:defRPr sz="1050" i="1"/>
                  </a:pPr>
                  <a:endParaRPr lang="en-US"/>
                </a:p>
              </c:txPr>
              <c:showLegendKey val="0"/>
              <c:showVal val="1"/>
              <c:showCatName val="0"/>
              <c:showSerName val="0"/>
              <c:showPercent val="0"/>
              <c:showBubbleSize val="0"/>
            </c:dLbl>
            <c:dLbl>
              <c:idx val="8"/>
              <c:spPr/>
              <c:txPr>
                <a:bodyPr/>
                <a:lstStyle/>
                <a:p>
                  <a:pPr>
                    <a:defRPr sz="1050" i="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charts!$O$452:$O$460</c:f>
              <c:strCache>
                <c:ptCount val="9"/>
                <c:pt idx="0">
                  <c:v>Plant/machinery/equipment</c:v>
                </c:pt>
                <c:pt idx="1">
                  <c:v>New products</c:v>
                </c:pt>
                <c:pt idx="2">
                  <c:v>New technologies</c:v>
                </c:pt>
                <c:pt idx="3">
                  <c:v>Expanding or moving premises</c:v>
                </c:pt>
                <c:pt idx="4">
                  <c:v>Research and development</c:v>
                </c:pt>
                <c:pt idx="5">
                  <c:v>Training</c:v>
                </c:pt>
                <c:pt idx="6">
                  <c:v>Flood defense</c:v>
                </c:pt>
                <c:pt idx="7">
                  <c:v>Any other areas</c:v>
                </c:pt>
                <c:pt idx="8">
                  <c:v>Expect to invest in any</c:v>
                </c:pt>
              </c:strCache>
            </c:strRef>
          </c:cat>
          <c:val>
            <c:numRef>
              <c:f>charts!$Q$452:$Q$460</c:f>
              <c:numCache>
                <c:formatCode>0%</c:formatCode>
                <c:ptCount val="9"/>
                <c:pt idx="0">
                  <c:v>0.47000000000000008</c:v>
                </c:pt>
                <c:pt idx="1">
                  <c:v>0.46</c:v>
                </c:pt>
                <c:pt idx="2">
                  <c:v>0.46</c:v>
                </c:pt>
                <c:pt idx="3">
                  <c:v>0.22</c:v>
                </c:pt>
                <c:pt idx="4">
                  <c:v>0.23</c:v>
                </c:pt>
                <c:pt idx="5">
                  <c:v>0.54</c:v>
                </c:pt>
                <c:pt idx="6">
                  <c:v>6.0000000000000032E-2</c:v>
                </c:pt>
                <c:pt idx="7">
                  <c:v>0.05</c:v>
                </c:pt>
                <c:pt idx="8">
                  <c:v>0.82000000000000062</c:v>
                </c:pt>
              </c:numCache>
            </c:numRef>
          </c:val>
        </c:ser>
        <c:ser>
          <c:idx val="2"/>
          <c:order val="2"/>
          <c:tx>
            <c:strRef>
              <c:f>charts!$R$451</c:f>
              <c:strCache>
                <c:ptCount val="1"/>
                <c:pt idx="0">
                  <c:v>10-24 employees (295)</c:v>
                </c:pt>
              </c:strCache>
            </c:strRef>
          </c:tx>
          <c:invertIfNegative val="0"/>
          <c:dLbls>
            <c:dLbl>
              <c:idx val="2"/>
              <c:spPr/>
              <c:txPr>
                <a:bodyPr/>
                <a:lstStyle/>
                <a:p>
                  <a:pPr>
                    <a:defRPr sz="1050" b="1"/>
                  </a:pPr>
                  <a:endParaRPr lang="en-US"/>
                </a:p>
              </c:txPr>
              <c:showLegendKey val="0"/>
              <c:showVal val="1"/>
              <c:showCatName val="0"/>
              <c:showSerName val="0"/>
              <c:showPercent val="0"/>
              <c:showBubbleSize val="0"/>
            </c:dLbl>
            <c:dLbl>
              <c:idx val="4"/>
              <c:spPr/>
              <c:txPr>
                <a:bodyPr/>
                <a:lstStyle/>
                <a:p>
                  <a:pPr>
                    <a:defRPr sz="1050" b="1"/>
                  </a:pPr>
                  <a:endParaRPr lang="en-US"/>
                </a:p>
              </c:txPr>
              <c:showLegendKey val="0"/>
              <c:showVal val="1"/>
              <c:showCatName val="0"/>
              <c:showSerName val="0"/>
              <c:showPercent val="0"/>
              <c:showBubbleSize val="0"/>
            </c:dLbl>
            <c:dLbl>
              <c:idx val="5"/>
              <c:spPr/>
              <c:txPr>
                <a:bodyPr/>
                <a:lstStyle/>
                <a:p>
                  <a:pPr>
                    <a:defRPr sz="1050" b="1"/>
                  </a:pPr>
                  <a:endParaRPr lang="en-US"/>
                </a:p>
              </c:txPr>
              <c:showLegendKey val="0"/>
              <c:showVal val="1"/>
              <c:showCatName val="0"/>
              <c:showSerName val="0"/>
              <c:showPercent val="0"/>
              <c:showBubbleSize val="0"/>
            </c:dLbl>
            <c:dLbl>
              <c:idx val="8"/>
              <c:spPr/>
              <c:txPr>
                <a:bodyPr/>
                <a:lstStyle/>
                <a:p>
                  <a:pPr>
                    <a:defRPr sz="1050" b="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charts!$O$452:$O$460</c:f>
              <c:strCache>
                <c:ptCount val="9"/>
                <c:pt idx="0">
                  <c:v>Plant/machinery/equipment</c:v>
                </c:pt>
                <c:pt idx="1">
                  <c:v>New products</c:v>
                </c:pt>
                <c:pt idx="2">
                  <c:v>New technologies</c:v>
                </c:pt>
                <c:pt idx="3">
                  <c:v>Expanding or moving premises</c:v>
                </c:pt>
                <c:pt idx="4">
                  <c:v>Research and development</c:v>
                </c:pt>
                <c:pt idx="5">
                  <c:v>Training</c:v>
                </c:pt>
                <c:pt idx="6">
                  <c:v>Flood defense</c:v>
                </c:pt>
                <c:pt idx="7">
                  <c:v>Any other areas</c:v>
                </c:pt>
                <c:pt idx="8">
                  <c:v>Expect to invest in any</c:v>
                </c:pt>
              </c:strCache>
            </c:strRef>
          </c:cat>
          <c:val>
            <c:numRef>
              <c:f>charts!$R$452:$R$460</c:f>
              <c:numCache>
                <c:formatCode>0%</c:formatCode>
                <c:ptCount val="9"/>
                <c:pt idx="0">
                  <c:v>0.49000000000000032</c:v>
                </c:pt>
                <c:pt idx="1">
                  <c:v>0.45</c:v>
                </c:pt>
                <c:pt idx="2">
                  <c:v>0.56999999999999995</c:v>
                </c:pt>
                <c:pt idx="3">
                  <c:v>0.28000000000000008</c:v>
                </c:pt>
                <c:pt idx="4">
                  <c:v>0.33000000000000063</c:v>
                </c:pt>
                <c:pt idx="5">
                  <c:v>0.79</c:v>
                </c:pt>
                <c:pt idx="6">
                  <c:v>6.0000000000000032E-2</c:v>
                </c:pt>
                <c:pt idx="7">
                  <c:v>0.05</c:v>
                </c:pt>
                <c:pt idx="8">
                  <c:v>0.89</c:v>
                </c:pt>
              </c:numCache>
            </c:numRef>
          </c:val>
        </c:ser>
        <c:ser>
          <c:idx val="3"/>
          <c:order val="3"/>
          <c:tx>
            <c:strRef>
              <c:f>charts!$S$451</c:f>
              <c:strCache>
                <c:ptCount val="1"/>
                <c:pt idx="0">
                  <c:v>25-99 employees (133)</c:v>
                </c:pt>
              </c:strCache>
            </c:strRef>
          </c:tx>
          <c:invertIfNegative val="0"/>
          <c:dLbls>
            <c:dLbl>
              <c:idx val="0"/>
              <c:spPr/>
              <c:txPr>
                <a:bodyPr/>
                <a:lstStyle/>
                <a:p>
                  <a:pPr>
                    <a:defRPr sz="1050" b="1"/>
                  </a:pPr>
                  <a:endParaRPr lang="en-US"/>
                </a:p>
              </c:txPr>
              <c:showLegendKey val="0"/>
              <c:showVal val="1"/>
              <c:showCatName val="0"/>
              <c:showSerName val="0"/>
              <c:showPercent val="0"/>
              <c:showBubbleSize val="0"/>
            </c:dLbl>
            <c:dLbl>
              <c:idx val="2"/>
              <c:spPr/>
              <c:txPr>
                <a:bodyPr/>
                <a:lstStyle/>
                <a:p>
                  <a:pPr>
                    <a:defRPr sz="1050" b="1"/>
                  </a:pPr>
                  <a:endParaRPr lang="en-US"/>
                </a:p>
              </c:txPr>
              <c:showLegendKey val="0"/>
              <c:showVal val="1"/>
              <c:showCatName val="0"/>
              <c:showSerName val="0"/>
              <c:showPercent val="0"/>
              <c:showBubbleSize val="0"/>
            </c:dLbl>
            <c:dLbl>
              <c:idx val="3"/>
              <c:spPr/>
              <c:txPr>
                <a:bodyPr/>
                <a:lstStyle/>
                <a:p>
                  <a:pPr>
                    <a:defRPr sz="1050" b="1"/>
                  </a:pPr>
                  <a:endParaRPr lang="en-US"/>
                </a:p>
              </c:txPr>
              <c:showLegendKey val="0"/>
              <c:showVal val="1"/>
              <c:showCatName val="0"/>
              <c:showSerName val="0"/>
              <c:showPercent val="0"/>
              <c:showBubbleSize val="0"/>
            </c:dLbl>
            <c:dLbl>
              <c:idx val="5"/>
              <c:spPr/>
              <c:txPr>
                <a:bodyPr/>
                <a:lstStyle/>
                <a:p>
                  <a:pPr>
                    <a:defRPr sz="1050" b="1"/>
                  </a:pPr>
                  <a:endParaRPr lang="en-US"/>
                </a:p>
              </c:txPr>
              <c:showLegendKey val="0"/>
              <c:showVal val="1"/>
              <c:showCatName val="0"/>
              <c:showSerName val="0"/>
              <c:showPercent val="0"/>
              <c:showBubbleSize val="0"/>
            </c:dLbl>
            <c:dLbl>
              <c:idx val="6"/>
              <c:spPr/>
              <c:txPr>
                <a:bodyPr/>
                <a:lstStyle/>
                <a:p>
                  <a:pPr>
                    <a:defRPr sz="1050" b="1"/>
                  </a:pPr>
                  <a:endParaRPr lang="en-US"/>
                </a:p>
              </c:txPr>
              <c:showLegendKey val="0"/>
              <c:showVal val="1"/>
              <c:showCatName val="0"/>
              <c:showSerName val="0"/>
              <c:showPercent val="0"/>
              <c:showBubbleSize val="0"/>
            </c:dLbl>
            <c:dLbl>
              <c:idx val="8"/>
              <c:spPr/>
              <c:txPr>
                <a:bodyPr/>
                <a:lstStyle/>
                <a:p>
                  <a:pPr>
                    <a:defRPr sz="1050" b="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charts!$O$452:$O$460</c:f>
              <c:strCache>
                <c:ptCount val="9"/>
                <c:pt idx="0">
                  <c:v>Plant/machinery/equipment</c:v>
                </c:pt>
                <c:pt idx="1">
                  <c:v>New products</c:v>
                </c:pt>
                <c:pt idx="2">
                  <c:v>New technologies</c:v>
                </c:pt>
                <c:pt idx="3">
                  <c:v>Expanding or moving premises</c:v>
                </c:pt>
                <c:pt idx="4">
                  <c:v>Research and development</c:v>
                </c:pt>
                <c:pt idx="5">
                  <c:v>Training</c:v>
                </c:pt>
                <c:pt idx="6">
                  <c:v>Flood defense</c:v>
                </c:pt>
                <c:pt idx="7">
                  <c:v>Any other areas</c:v>
                </c:pt>
                <c:pt idx="8">
                  <c:v>Expect to invest in any</c:v>
                </c:pt>
              </c:strCache>
            </c:strRef>
          </c:cat>
          <c:val>
            <c:numRef>
              <c:f>charts!$S$452:$S$460</c:f>
              <c:numCache>
                <c:formatCode>0%</c:formatCode>
                <c:ptCount val="9"/>
                <c:pt idx="0">
                  <c:v>0.61000000000000065</c:v>
                </c:pt>
                <c:pt idx="1">
                  <c:v>0.54</c:v>
                </c:pt>
                <c:pt idx="2">
                  <c:v>0.67000000000000126</c:v>
                </c:pt>
                <c:pt idx="3">
                  <c:v>0.33000000000000063</c:v>
                </c:pt>
                <c:pt idx="4">
                  <c:v>0.29000000000000031</c:v>
                </c:pt>
                <c:pt idx="5">
                  <c:v>0.83000000000000063</c:v>
                </c:pt>
                <c:pt idx="6">
                  <c:v>0.13</c:v>
                </c:pt>
                <c:pt idx="7">
                  <c:v>9.0000000000000024E-2</c:v>
                </c:pt>
                <c:pt idx="8">
                  <c:v>0.94000000000000061</c:v>
                </c:pt>
              </c:numCache>
            </c:numRef>
          </c:val>
        </c:ser>
        <c:ser>
          <c:idx val="4"/>
          <c:order val="4"/>
          <c:tx>
            <c:strRef>
              <c:f>charts!$T$451</c:f>
              <c:strCache>
                <c:ptCount val="1"/>
                <c:pt idx="0">
                  <c:v>100+ employees (38)</c:v>
                </c:pt>
              </c:strCache>
            </c:strRef>
          </c:tx>
          <c:invertIfNegative val="0"/>
          <c:dLbls>
            <c:dLbl>
              <c:idx val="2"/>
              <c:spPr/>
              <c:txPr>
                <a:bodyPr/>
                <a:lstStyle/>
                <a:p>
                  <a:pPr>
                    <a:defRPr sz="1050" b="1"/>
                  </a:pPr>
                  <a:endParaRPr lang="en-US"/>
                </a:p>
              </c:txPr>
              <c:showLegendKey val="0"/>
              <c:showVal val="1"/>
              <c:showCatName val="0"/>
              <c:showSerName val="0"/>
              <c:showPercent val="0"/>
              <c:showBubbleSize val="0"/>
            </c:dLbl>
            <c:dLbl>
              <c:idx val="3"/>
              <c:spPr/>
              <c:txPr>
                <a:bodyPr/>
                <a:lstStyle/>
                <a:p>
                  <a:pPr>
                    <a:defRPr sz="1050" b="1"/>
                  </a:pPr>
                  <a:endParaRPr lang="en-US"/>
                </a:p>
              </c:txPr>
              <c:showLegendKey val="0"/>
              <c:showVal val="1"/>
              <c:showCatName val="0"/>
              <c:showSerName val="0"/>
              <c:showPercent val="0"/>
              <c:showBubbleSize val="0"/>
            </c:dLbl>
            <c:dLbl>
              <c:idx val="5"/>
              <c:spPr/>
              <c:txPr>
                <a:bodyPr/>
                <a:lstStyle/>
                <a:p>
                  <a:pPr>
                    <a:defRPr sz="1050" b="1"/>
                  </a:pPr>
                  <a:endParaRPr lang="en-US"/>
                </a:p>
              </c:txPr>
              <c:showLegendKey val="0"/>
              <c:showVal val="1"/>
              <c:showCatName val="0"/>
              <c:showSerName val="0"/>
              <c:showPercent val="0"/>
              <c:showBubbleSize val="0"/>
            </c:dLbl>
            <c:dLbl>
              <c:idx val="7"/>
              <c:spPr/>
              <c:txPr>
                <a:bodyPr/>
                <a:lstStyle/>
                <a:p>
                  <a:pPr>
                    <a:defRPr sz="1050" b="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charts!$O$452:$O$460</c:f>
              <c:strCache>
                <c:ptCount val="9"/>
                <c:pt idx="0">
                  <c:v>Plant/machinery/equipment</c:v>
                </c:pt>
                <c:pt idx="1">
                  <c:v>New products</c:v>
                </c:pt>
                <c:pt idx="2">
                  <c:v>New technologies</c:v>
                </c:pt>
                <c:pt idx="3">
                  <c:v>Expanding or moving premises</c:v>
                </c:pt>
                <c:pt idx="4">
                  <c:v>Research and development</c:v>
                </c:pt>
                <c:pt idx="5">
                  <c:v>Training</c:v>
                </c:pt>
                <c:pt idx="6">
                  <c:v>Flood defense</c:v>
                </c:pt>
                <c:pt idx="7">
                  <c:v>Any other areas</c:v>
                </c:pt>
                <c:pt idx="8">
                  <c:v>Expect to invest in any</c:v>
                </c:pt>
              </c:strCache>
            </c:strRef>
          </c:cat>
          <c:val>
            <c:numRef>
              <c:f>charts!$T$452:$T$460</c:f>
              <c:numCache>
                <c:formatCode>0%</c:formatCode>
                <c:ptCount val="9"/>
                <c:pt idx="0">
                  <c:v>0.61000000000000065</c:v>
                </c:pt>
                <c:pt idx="1">
                  <c:v>0.60000000000000064</c:v>
                </c:pt>
                <c:pt idx="2">
                  <c:v>0.72000000000000064</c:v>
                </c:pt>
                <c:pt idx="3">
                  <c:v>0.44</c:v>
                </c:pt>
                <c:pt idx="4">
                  <c:v>0.52</c:v>
                </c:pt>
                <c:pt idx="5">
                  <c:v>0.83000000000000063</c:v>
                </c:pt>
                <c:pt idx="6">
                  <c:v>0.1</c:v>
                </c:pt>
                <c:pt idx="7">
                  <c:v>0.14000000000000001</c:v>
                </c:pt>
                <c:pt idx="8">
                  <c:v>0.9</c:v>
                </c:pt>
              </c:numCache>
            </c:numRef>
          </c:val>
        </c:ser>
        <c:dLbls>
          <c:showLegendKey val="0"/>
          <c:showVal val="1"/>
          <c:showCatName val="0"/>
          <c:showSerName val="0"/>
          <c:showPercent val="0"/>
          <c:showBubbleSize val="0"/>
        </c:dLbls>
        <c:gapWidth val="40"/>
        <c:overlap val="-1"/>
        <c:axId val="97903360"/>
        <c:axId val="97904896"/>
      </c:barChart>
      <c:catAx>
        <c:axId val="97903360"/>
        <c:scaling>
          <c:orientation val="maxMin"/>
        </c:scaling>
        <c:delete val="0"/>
        <c:axPos val="l"/>
        <c:majorTickMark val="none"/>
        <c:minorTickMark val="none"/>
        <c:tickLblPos val="nextTo"/>
        <c:txPr>
          <a:bodyPr/>
          <a:lstStyle/>
          <a:p>
            <a:pPr>
              <a:defRPr sz="1100"/>
            </a:pPr>
            <a:endParaRPr lang="en-US"/>
          </a:p>
        </c:txPr>
        <c:crossAx val="97904896"/>
        <c:crosses val="autoZero"/>
        <c:auto val="1"/>
        <c:lblAlgn val="ctr"/>
        <c:lblOffset val="100"/>
        <c:noMultiLvlLbl val="0"/>
      </c:catAx>
      <c:valAx>
        <c:axId val="97904896"/>
        <c:scaling>
          <c:orientation val="minMax"/>
        </c:scaling>
        <c:delete val="1"/>
        <c:axPos val="b"/>
        <c:numFmt formatCode="0%" sourceLinked="1"/>
        <c:majorTickMark val="out"/>
        <c:minorTickMark val="none"/>
        <c:tickLblPos val="none"/>
        <c:crossAx val="97903360"/>
        <c:crosses val="max"/>
        <c:crossBetween val="between"/>
      </c:valAx>
    </c:plotArea>
    <c:legend>
      <c:legendPos val="t"/>
      <c:layout>
        <c:manualLayout>
          <c:xMode val="edge"/>
          <c:yMode val="edge"/>
          <c:x val="1.8606844129674966E-2"/>
          <c:y val="5.8417120936806134E-3"/>
          <c:w val="0.94782031556400403"/>
          <c:h val="9.0776633690019523E-2"/>
        </c:manualLayout>
      </c:layou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charts!$B$472:$F$472</c:f>
              <c:strCache>
                <c:ptCount val="5"/>
                <c:pt idx="0">
                  <c:v>All employers (1515)</c:v>
                </c:pt>
                <c:pt idx="1">
                  <c:v>2-9 employees (1018)</c:v>
                </c:pt>
                <c:pt idx="2">
                  <c:v>10-24 employees (307)</c:v>
                </c:pt>
                <c:pt idx="3">
                  <c:v>25-99 employees (151)</c:v>
                </c:pt>
                <c:pt idx="4">
                  <c:v>100+ employees (39)</c:v>
                </c:pt>
              </c:strCache>
            </c:strRef>
          </c:cat>
          <c:val>
            <c:numRef>
              <c:f>charts!$B$473:$F$473</c:f>
              <c:numCache>
                <c:formatCode>0%</c:formatCode>
                <c:ptCount val="5"/>
                <c:pt idx="0">
                  <c:v>0.48000000000000032</c:v>
                </c:pt>
                <c:pt idx="1">
                  <c:v>0.36000000000000032</c:v>
                </c:pt>
                <c:pt idx="2">
                  <c:v>0.77000000000000113</c:v>
                </c:pt>
                <c:pt idx="3">
                  <c:v>0.92</c:v>
                </c:pt>
                <c:pt idx="4">
                  <c:v>0.94000000000000061</c:v>
                </c:pt>
              </c:numCache>
            </c:numRef>
          </c:val>
        </c:ser>
        <c:dLbls>
          <c:showLegendKey val="0"/>
          <c:showVal val="1"/>
          <c:showCatName val="0"/>
          <c:showSerName val="0"/>
          <c:showPercent val="0"/>
          <c:showBubbleSize val="0"/>
        </c:dLbls>
        <c:gapWidth val="40"/>
        <c:axId val="98961664"/>
        <c:axId val="98967552"/>
      </c:barChart>
      <c:catAx>
        <c:axId val="98961664"/>
        <c:scaling>
          <c:orientation val="maxMin"/>
        </c:scaling>
        <c:delete val="0"/>
        <c:axPos val="l"/>
        <c:majorTickMark val="none"/>
        <c:minorTickMark val="none"/>
        <c:tickLblPos val="low"/>
        <c:txPr>
          <a:bodyPr/>
          <a:lstStyle/>
          <a:p>
            <a:pPr>
              <a:defRPr sz="1050"/>
            </a:pPr>
            <a:endParaRPr lang="en-US"/>
          </a:p>
        </c:txPr>
        <c:crossAx val="98967552"/>
        <c:crosses val="autoZero"/>
        <c:auto val="1"/>
        <c:lblAlgn val="ctr"/>
        <c:lblOffset val="100"/>
        <c:noMultiLvlLbl val="0"/>
      </c:catAx>
      <c:valAx>
        <c:axId val="98967552"/>
        <c:scaling>
          <c:orientation val="minMax"/>
        </c:scaling>
        <c:delete val="1"/>
        <c:axPos val="b"/>
        <c:numFmt formatCode="0%" sourceLinked="1"/>
        <c:majorTickMark val="none"/>
        <c:minorTickMark val="none"/>
        <c:tickLblPos val="none"/>
        <c:crossAx val="98961664"/>
        <c:crosses val="max"/>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565780619816872"/>
          <c:y val="9.6252377981825968E-2"/>
          <c:w val="0.61407174762297534"/>
          <c:h val="0.84213820819676199"/>
        </c:manualLayout>
      </c:layout>
      <c:barChart>
        <c:barDir val="bar"/>
        <c:grouping val="clustered"/>
        <c:varyColors val="0"/>
        <c:ser>
          <c:idx val="0"/>
          <c:order val="0"/>
          <c:tx>
            <c:strRef>
              <c:f>charts!$A$563</c:f>
              <c:strCache>
                <c:ptCount val="1"/>
                <c:pt idx="0">
                  <c:v>Existing posts</c:v>
                </c:pt>
              </c:strCache>
            </c:strRef>
          </c:tx>
          <c:invertIfNegative val="0"/>
          <c:dLbls>
            <c:dLbl>
              <c:idx val="1"/>
              <c:spPr/>
              <c:txPr>
                <a:bodyPr/>
                <a:lstStyle/>
                <a:p>
                  <a:pPr>
                    <a:defRPr sz="1050" i="1"/>
                  </a:pPr>
                  <a:endParaRPr lang="en-US"/>
                </a:p>
              </c:txPr>
              <c:showLegendKey val="0"/>
              <c:showVal val="1"/>
              <c:showCatName val="0"/>
              <c:showSerName val="0"/>
              <c:showPercent val="0"/>
              <c:showBubbleSize val="0"/>
            </c:dLbl>
            <c:dLbl>
              <c:idx val="2"/>
              <c:spPr/>
              <c:txPr>
                <a:bodyPr/>
                <a:lstStyle/>
                <a:p>
                  <a:pPr>
                    <a:defRPr sz="1050" b="1"/>
                  </a:pPr>
                  <a:endParaRPr lang="en-US"/>
                </a:p>
              </c:txPr>
              <c:showLegendKey val="0"/>
              <c:showVal val="1"/>
              <c:showCatName val="0"/>
              <c:showSerName val="0"/>
              <c:showPercent val="0"/>
              <c:showBubbleSize val="0"/>
            </c:dLbl>
            <c:dLbl>
              <c:idx val="3"/>
              <c:spPr/>
              <c:txPr>
                <a:bodyPr/>
                <a:lstStyle/>
                <a:p>
                  <a:pPr>
                    <a:defRPr sz="1050" b="1"/>
                  </a:pPr>
                  <a:endParaRPr lang="en-US"/>
                </a:p>
              </c:txPr>
              <c:showLegendKey val="0"/>
              <c:showVal val="1"/>
              <c:showCatName val="0"/>
              <c:showSerName val="0"/>
              <c:showPercent val="0"/>
              <c:showBubbleSize val="0"/>
            </c:dLbl>
            <c:dLbl>
              <c:idx val="4"/>
              <c:layout>
                <c:manualLayout>
                  <c:x val="-6.3391442155309114E-3"/>
                  <c:y val="0"/>
                </c:manualLayout>
              </c:layout>
              <c:spPr/>
              <c:txPr>
                <a:bodyPr/>
                <a:lstStyle/>
                <a:p>
                  <a:pPr>
                    <a:defRPr sz="1050" b="1"/>
                  </a:pPr>
                  <a:endParaRPr lang="en-US"/>
                </a:p>
              </c:txPr>
              <c:showLegendKey val="0"/>
              <c:showVal val="1"/>
              <c:showCatName val="0"/>
              <c:showSerName val="0"/>
              <c:showPercent val="0"/>
              <c:showBubbleSize val="0"/>
            </c:dLbl>
            <c:dLbl>
              <c:idx val="5"/>
              <c:spPr/>
              <c:txPr>
                <a:bodyPr/>
                <a:lstStyle/>
                <a:p>
                  <a:pPr>
                    <a:defRPr sz="1050" i="1"/>
                  </a:pPr>
                  <a:endParaRPr lang="en-US"/>
                </a:p>
              </c:txPr>
              <c:showLegendKey val="0"/>
              <c:showVal val="1"/>
              <c:showCatName val="0"/>
              <c:showSerName val="0"/>
              <c:showPercent val="0"/>
              <c:showBubbleSize val="0"/>
            </c:dLbl>
            <c:dLbl>
              <c:idx val="6"/>
              <c:spPr/>
              <c:txPr>
                <a:bodyPr/>
                <a:lstStyle/>
                <a:p>
                  <a:pPr>
                    <a:defRPr sz="1050" b="1"/>
                  </a:pPr>
                  <a:endParaRPr lang="en-US"/>
                </a:p>
              </c:txPr>
              <c:showLegendKey val="0"/>
              <c:showVal val="1"/>
              <c:showCatName val="0"/>
              <c:showSerName val="0"/>
              <c:showPercent val="0"/>
              <c:showBubbleSize val="0"/>
            </c:dLbl>
            <c:dLbl>
              <c:idx val="7"/>
              <c:spPr/>
              <c:txPr>
                <a:bodyPr/>
                <a:lstStyle/>
                <a:p>
                  <a:pPr>
                    <a:defRPr sz="1050" i="1"/>
                  </a:pPr>
                  <a:endParaRPr lang="en-US"/>
                </a:p>
              </c:txPr>
              <c:showLegendKey val="0"/>
              <c:showVal val="1"/>
              <c:showCatName val="0"/>
              <c:showSerName val="0"/>
              <c:showPercent val="0"/>
              <c:showBubbleSize val="0"/>
            </c:dLbl>
            <c:dLbl>
              <c:idx val="8"/>
              <c:spPr/>
              <c:txPr>
                <a:bodyPr/>
                <a:lstStyle/>
                <a:p>
                  <a:pPr>
                    <a:defRPr sz="1050" b="1"/>
                  </a:pPr>
                  <a:endParaRPr lang="en-US"/>
                </a:p>
              </c:txPr>
              <c:showLegendKey val="0"/>
              <c:showVal val="1"/>
              <c:showCatName val="0"/>
              <c:showSerName val="0"/>
              <c:showPercent val="0"/>
              <c:showBubbleSize val="0"/>
            </c:dLbl>
            <c:dLbl>
              <c:idx val="9"/>
              <c:spPr/>
              <c:txPr>
                <a:bodyPr/>
                <a:lstStyle/>
                <a:p>
                  <a:pPr>
                    <a:defRPr sz="1050" b="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charts!$B$562:$K$562</c:f>
              <c:strCache>
                <c:ptCount val="10"/>
                <c:pt idx="0">
                  <c:v>All employers (785)</c:v>
                </c:pt>
                <c:pt idx="1">
                  <c:v>2-9 employees (372)</c:v>
                </c:pt>
                <c:pt idx="2">
                  <c:v>10-24 employees (237)</c:v>
                </c:pt>
                <c:pt idx="3">
                  <c:v>25-99 employees (140)</c:v>
                </c:pt>
                <c:pt idx="4">
                  <c:v>100+ employees (36)</c:v>
                </c:pt>
                <c:pt idx="5">
                  <c:v>Young (&lt;5 Years) (124)</c:v>
                </c:pt>
                <c:pt idx="6">
                  <c:v>Established (5+ Years) (661)</c:v>
                </c:pt>
                <c:pt idx="7">
                  <c:v>Growth (354)</c:v>
                </c:pt>
                <c:pt idx="8">
                  <c:v>No Change (366)</c:v>
                </c:pt>
                <c:pt idx="9">
                  <c:v>Decline (60)</c:v>
                </c:pt>
              </c:strCache>
            </c:strRef>
          </c:cat>
          <c:val>
            <c:numRef>
              <c:f>charts!$B$563:$K$563</c:f>
              <c:numCache>
                <c:formatCode>0%</c:formatCode>
                <c:ptCount val="10"/>
                <c:pt idx="0">
                  <c:v>0.67000000000000126</c:v>
                </c:pt>
                <c:pt idx="1">
                  <c:v>0.58000000000000007</c:v>
                </c:pt>
                <c:pt idx="2">
                  <c:v>0.73000000000000065</c:v>
                </c:pt>
                <c:pt idx="3">
                  <c:v>0.86000000000000065</c:v>
                </c:pt>
                <c:pt idx="4">
                  <c:v>0.89</c:v>
                </c:pt>
                <c:pt idx="5">
                  <c:v>0.52</c:v>
                </c:pt>
                <c:pt idx="6">
                  <c:v>0.71000000000000063</c:v>
                </c:pt>
                <c:pt idx="7">
                  <c:v>0.48000000000000032</c:v>
                </c:pt>
                <c:pt idx="8">
                  <c:v>0.84000000000000064</c:v>
                </c:pt>
                <c:pt idx="9">
                  <c:v>0.82000000000000062</c:v>
                </c:pt>
              </c:numCache>
            </c:numRef>
          </c:val>
        </c:ser>
        <c:ser>
          <c:idx val="1"/>
          <c:order val="1"/>
          <c:tx>
            <c:strRef>
              <c:f>charts!$A$564</c:f>
              <c:strCache>
                <c:ptCount val="1"/>
                <c:pt idx="0">
                  <c:v>Newly created posts</c:v>
                </c:pt>
              </c:strCache>
            </c:strRef>
          </c:tx>
          <c:invertIfNegative val="0"/>
          <c:dLbls>
            <c:dLbl>
              <c:idx val="5"/>
              <c:spPr/>
              <c:txPr>
                <a:bodyPr/>
                <a:lstStyle/>
                <a:p>
                  <a:pPr>
                    <a:defRPr sz="1050" b="1"/>
                  </a:pPr>
                  <a:endParaRPr lang="en-US"/>
                </a:p>
              </c:txPr>
              <c:showLegendKey val="0"/>
              <c:showVal val="1"/>
              <c:showCatName val="0"/>
              <c:showSerName val="0"/>
              <c:showPercent val="0"/>
              <c:showBubbleSize val="0"/>
            </c:dLbl>
            <c:dLbl>
              <c:idx val="7"/>
              <c:spPr/>
              <c:txPr>
                <a:bodyPr/>
                <a:lstStyle/>
                <a:p>
                  <a:pPr>
                    <a:defRPr sz="1050" b="1"/>
                  </a:pPr>
                  <a:endParaRPr lang="en-US"/>
                </a:p>
              </c:txPr>
              <c:showLegendKey val="0"/>
              <c:showVal val="1"/>
              <c:showCatName val="0"/>
              <c:showSerName val="0"/>
              <c:showPercent val="0"/>
              <c:showBubbleSize val="0"/>
            </c:dLbl>
            <c:dLbl>
              <c:idx val="8"/>
              <c:spPr/>
              <c:txPr>
                <a:bodyPr/>
                <a:lstStyle/>
                <a:p>
                  <a:pPr>
                    <a:defRPr sz="1050" i="1"/>
                  </a:pPr>
                  <a:endParaRPr lang="en-US"/>
                </a:p>
              </c:txPr>
              <c:showLegendKey val="0"/>
              <c:showVal val="1"/>
              <c:showCatName val="0"/>
              <c:showSerName val="0"/>
              <c:showPercent val="0"/>
              <c:showBubbleSize val="0"/>
            </c:dLbl>
            <c:dLbl>
              <c:idx val="9"/>
              <c:spPr/>
              <c:txPr>
                <a:bodyPr/>
                <a:lstStyle/>
                <a:p>
                  <a:pPr>
                    <a:defRPr sz="1050" i="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charts!$B$562:$K$562</c:f>
              <c:strCache>
                <c:ptCount val="10"/>
                <c:pt idx="0">
                  <c:v>All employers (785)</c:v>
                </c:pt>
                <c:pt idx="1">
                  <c:v>2-9 employees (372)</c:v>
                </c:pt>
                <c:pt idx="2">
                  <c:v>10-24 employees (237)</c:v>
                </c:pt>
                <c:pt idx="3">
                  <c:v>25-99 employees (140)</c:v>
                </c:pt>
                <c:pt idx="4">
                  <c:v>100+ employees (36)</c:v>
                </c:pt>
                <c:pt idx="5">
                  <c:v>Young (&lt;5 Years) (124)</c:v>
                </c:pt>
                <c:pt idx="6">
                  <c:v>Established (5+ Years) (661)</c:v>
                </c:pt>
                <c:pt idx="7">
                  <c:v>Growth (354)</c:v>
                </c:pt>
                <c:pt idx="8">
                  <c:v>No Change (366)</c:v>
                </c:pt>
                <c:pt idx="9">
                  <c:v>Decline (60)</c:v>
                </c:pt>
              </c:strCache>
            </c:strRef>
          </c:cat>
          <c:val>
            <c:numRef>
              <c:f>charts!$B$564:$K$564</c:f>
              <c:numCache>
                <c:formatCode>0%</c:formatCode>
                <c:ptCount val="10"/>
                <c:pt idx="0">
                  <c:v>0.53</c:v>
                </c:pt>
                <c:pt idx="1">
                  <c:v>0.51</c:v>
                </c:pt>
                <c:pt idx="2">
                  <c:v>0.55000000000000004</c:v>
                </c:pt>
                <c:pt idx="3">
                  <c:v>0.51</c:v>
                </c:pt>
                <c:pt idx="4">
                  <c:v>0.68</c:v>
                </c:pt>
                <c:pt idx="5">
                  <c:v>0.71000000000000063</c:v>
                </c:pt>
                <c:pt idx="6">
                  <c:v>0.49000000000000032</c:v>
                </c:pt>
                <c:pt idx="7">
                  <c:v>0.84000000000000064</c:v>
                </c:pt>
                <c:pt idx="8">
                  <c:v>0.27</c:v>
                </c:pt>
                <c:pt idx="9">
                  <c:v>0.28000000000000008</c:v>
                </c:pt>
              </c:numCache>
            </c:numRef>
          </c:val>
        </c:ser>
        <c:dLbls>
          <c:showLegendKey val="0"/>
          <c:showVal val="1"/>
          <c:showCatName val="0"/>
          <c:showSerName val="0"/>
          <c:showPercent val="0"/>
          <c:showBubbleSize val="0"/>
        </c:dLbls>
        <c:gapWidth val="40"/>
        <c:overlap val="-1"/>
        <c:axId val="97261440"/>
        <c:axId val="97262976"/>
      </c:barChart>
      <c:catAx>
        <c:axId val="97261440"/>
        <c:scaling>
          <c:orientation val="maxMin"/>
        </c:scaling>
        <c:delete val="0"/>
        <c:axPos val="l"/>
        <c:majorTickMark val="none"/>
        <c:minorTickMark val="none"/>
        <c:tickLblPos val="nextTo"/>
        <c:txPr>
          <a:bodyPr/>
          <a:lstStyle/>
          <a:p>
            <a:pPr>
              <a:defRPr sz="1050"/>
            </a:pPr>
            <a:endParaRPr lang="en-US"/>
          </a:p>
        </c:txPr>
        <c:crossAx val="97262976"/>
        <c:crosses val="autoZero"/>
        <c:auto val="1"/>
        <c:lblAlgn val="ctr"/>
        <c:lblOffset val="100"/>
        <c:noMultiLvlLbl val="0"/>
      </c:catAx>
      <c:valAx>
        <c:axId val="97262976"/>
        <c:scaling>
          <c:orientation val="minMax"/>
        </c:scaling>
        <c:delete val="1"/>
        <c:axPos val="b"/>
        <c:numFmt formatCode="0%" sourceLinked="1"/>
        <c:majorTickMark val="out"/>
        <c:minorTickMark val="none"/>
        <c:tickLblPos val="none"/>
        <c:crossAx val="97261440"/>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charts!$A$575:$A$582</c:f>
              <c:strCache>
                <c:ptCount val="8"/>
                <c:pt idx="0">
                  <c:v>Managerial/directors/senior officials</c:v>
                </c:pt>
                <c:pt idx="1">
                  <c:v>Professional</c:v>
                </c:pt>
                <c:pt idx="2">
                  <c:v>Associate professional/Technical</c:v>
                </c:pt>
                <c:pt idx="3">
                  <c:v>Supervisory</c:v>
                </c:pt>
                <c:pt idx="4">
                  <c:v>Clerical/administrative/secretarial</c:v>
                </c:pt>
                <c:pt idx="5">
                  <c:v>Skilled manual/technical/craft</c:v>
                </c:pt>
                <c:pt idx="6">
                  <c:v>Semi-skilled</c:v>
                </c:pt>
                <c:pt idx="7">
                  <c:v>Unskilled</c:v>
                </c:pt>
              </c:strCache>
            </c:strRef>
          </c:cat>
          <c:val>
            <c:numRef>
              <c:f>charts!$B$575:$B$582</c:f>
              <c:numCache>
                <c:formatCode>0%</c:formatCode>
                <c:ptCount val="8"/>
                <c:pt idx="0">
                  <c:v>0.16</c:v>
                </c:pt>
                <c:pt idx="1">
                  <c:v>0.21000000000000021</c:v>
                </c:pt>
                <c:pt idx="2">
                  <c:v>0.11</c:v>
                </c:pt>
                <c:pt idx="3">
                  <c:v>0.13</c:v>
                </c:pt>
                <c:pt idx="4">
                  <c:v>0.2</c:v>
                </c:pt>
                <c:pt idx="5">
                  <c:v>0.26</c:v>
                </c:pt>
                <c:pt idx="6">
                  <c:v>0.35000000000000031</c:v>
                </c:pt>
                <c:pt idx="7">
                  <c:v>0.32000000000000056</c:v>
                </c:pt>
              </c:numCache>
            </c:numRef>
          </c:val>
        </c:ser>
        <c:dLbls>
          <c:showLegendKey val="0"/>
          <c:showVal val="1"/>
          <c:showCatName val="0"/>
          <c:showSerName val="0"/>
          <c:showPercent val="0"/>
          <c:showBubbleSize val="0"/>
        </c:dLbls>
        <c:gapWidth val="40"/>
        <c:axId val="97284096"/>
        <c:axId val="97285632"/>
      </c:barChart>
      <c:catAx>
        <c:axId val="97284096"/>
        <c:scaling>
          <c:orientation val="maxMin"/>
        </c:scaling>
        <c:delete val="0"/>
        <c:axPos val="l"/>
        <c:majorTickMark val="none"/>
        <c:minorTickMark val="none"/>
        <c:tickLblPos val="low"/>
        <c:txPr>
          <a:bodyPr/>
          <a:lstStyle/>
          <a:p>
            <a:pPr>
              <a:defRPr sz="1050"/>
            </a:pPr>
            <a:endParaRPr lang="en-US"/>
          </a:p>
        </c:txPr>
        <c:crossAx val="97285632"/>
        <c:crosses val="autoZero"/>
        <c:auto val="1"/>
        <c:lblAlgn val="ctr"/>
        <c:lblOffset val="100"/>
        <c:noMultiLvlLbl val="0"/>
      </c:catAx>
      <c:valAx>
        <c:axId val="97285632"/>
        <c:scaling>
          <c:orientation val="minMax"/>
        </c:scaling>
        <c:delete val="1"/>
        <c:axPos val="b"/>
        <c:numFmt formatCode="0%" sourceLinked="1"/>
        <c:majorTickMark val="none"/>
        <c:minorTickMark val="none"/>
        <c:tickLblPos val="none"/>
        <c:crossAx val="97284096"/>
        <c:crosses val="max"/>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charts!$A$594:$A$604</c:f>
              <c:strCache>
                <c:ptCount val="11"/>
                <c:pt idx="0">
                  <c:v>People aged 45+</c:v>
                </c:pt>
                <c:pt idx="1">
                  <c:v>People aged under 19</c:v>
                </c:pt>
                <c:pt idx="2">
                  <c:v>Women returning to work</c:v>
                </c:pt>
                <c:pt idx="3">
                  <c:v>People who have been unemployed for over 6 months</c:v>
                </c:pt>
                <c:pt idx="4">
                  <c:v>Recent graduates i.e. graduated in the last 12 months</c:v>
                </c:pt>
                <c:pt idx="5">
                  <c:v>Government supported trainees e.g. modern apprentice</c:v>
                </c:pt>
                <c:pt idx="6">
                  <c:v>People from ethnic minorities</c:v>
                </c:pt>
                <c:pt idx="7">
                  <c:v>People from outside the UK</c:v>
                </c:pt>
                <c:pt idx="8">
                  <c:v>People with disabilities</c:v>
                </c:pt>
                <c:pt idx="9">
                  <c:v>Ex-forces</c:v>
                </c:pt>
                <c:pt idx="10">
                  <c:v>None of these</c:v>
                </c:pt>
              </c:strCache>
            </c:strRef>
          </c:cat>
          <c:val>
            <c:numRef>
              <c:f>charts!$B$594:$B$604</c:f>
              <c:numCache>
                <c:formatCode>0%</c:formatCode>
                <c:ptCount val="11"/>
                <c:pt idx="0">
                  <c:v>0.43000000000000038</c:v>
                </c:pt>
                <c:pt idx="1">
                  <c:v>0.35000000000000031</c:v>
                </c:pt>
                <c:pt idx="2">
                  <c:v>0.30000000000000032</c:v>
                </c:pt>
                <c:pt idx="3">
                  <c:v>0.3100000000000005</c:v>
                </c:pt>
                <c:pt idx="4">
                  <c:v>0.16</c:v>
                </c:pt>
                <c:pt idx="5">
                  <c:v>0.17</c:v>
                </c:pt>
                <c:pt idx="6">
                  <c:v>0.15000000000000024</c:v>
                </c:pt>
                <c:pt idx="7">
                  <c:v>0.1</c:v>
                </c:pt>
                <c:pt idx="8">
                  <c:v>9.0000000000000024E-2</c:v>
                </c:pt>
                <c:pt idx="9">
                  <c:v>9.0000000000000024E-2</c:v>
                </c:pt>
                <c:pt idx="10">
                  <c:v>0.17</c:v>
                </c:pt>
              </c:numCache>
            </c:numRef>
          </c:val>
        </c:ser>
        <c:dLbls>
          <c:showLegendKey val="0"/>
          <c:showVal val="1"/>
          <c:showCatName val="0"/>
          <c:showSerName val="0"/>
          <c:showPercent val="0"/>
          <c:showBubbleSize val="0"/>
        </c:dLbls>
        <c:gapWidth val="40"/>
        <c:axId val="97313920"/>
        <c:axId val="97315456"/>
      </c:barChart>
      <c:catAx>
        <c:axId val="97313920"/>
        <c:scaling>
          <c:orientation val="maxMin"/>
        </c:scaling>
        <c:delete val="0"/>
        <c:axPos val="l"/>
        <c:majorTickMark val="none"/>
        <c:minorTickMark val="none"/>
        <c:tickLblPos val="low"/>
        <c:txPr>
          <a:bodyPr/>
          <a:lstStyle/>
          <a:p>
            <a:pPr>
              <a:defRPr sz="1050"/>
            </a:pPr>
            <a:endParaRPr lang="en-US"/>
          </a:p>
        </c:txPr>
        <c:crossAx val="97315456"/>
        <c:crosses val="autoZero"/>
        <c:auto val="1"/>
        <c:lblAlgn val="ctr"/>
        <c:lblOffset val="100"/>
        <c:noMultiLvlLbl val="0"/>
      </c:catAx>
      <c:valAx>
        <c:axId val="97315456"/>
        <c:scaling>
          <c:orientation val="minMax"/>
        </c:scaling>
        <c:delete val="1"/>
        <c:axPos val="b"/>
        <c:numFmt formatCode="0%" sourceLinked="1"/>
        <c:majorTickMark val="none"/>
        <c:minorTickMark val="none"/>
        <c:tickLblPos val="none"/>
        <c:crossAx val="97313920"/>
        <c:crosses val="max"/>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4559569759662393"/>
          <c:y val="3.9800995024875663E-2"/>
          <c:w val="0.52390321307875765"/>
          <c:h val="0.92703150912106136"/>
        </c:manualLayout>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charts!$E$618:$E$625</c:f>
              <c:strCache>
                <c:ptCount val="8"/>
                <c:pt idx="0">
                  <c:v>Managerial/directors/senior officials (125)</c:v>
                </c:pt>
                <c:pt idx="1">
                  <c:v>Professional (183)</c:v>
                </c:pt>
                <c:pt idx="2">
                  <c:v>Associate professional/Technical (84)</c:v>
                </c:pt>
                <c:pt idx="3">
                  <c:v>Supervisory (100)</c:v>
                </c:pt>
                <c:pt idx="4">
                  <c:v>Clerical/administrative/secretarial (173)</c:v>
                </c:pt>
                <c:pt idx="5">
                  <c:v>Skilled manual/technical/craft (216)</c:v>
                </c:pt>
                <c:pt idx="6">
                  <c:v>Semi-skilled (270)</c:v>
                </c:pt>
                <c:pt idx="7">
                  <c:v>Unskilled (250)</c:v>
                </c:pt>
              </c:strCache>
            </c:strRef>
          </c:cat>
          <c:val>
            <c:numRef>
              <c:f>charts!$F$618:$F$625</c:f>
              <c:numCache>
                <c:formatCode>0%</c:formatCode>
                <c:ptCount val="8"/>
                <c:pt idx="0">
                  <c:v>0.23</c:v>
                </c:pt>
                <c:pt idx="1">
                  <c:v>0.28000000000000008</c:v>
                </c:pt>
                <c:pt idx="2">
                  <c:v>0.18000000000000022</c:v>
                </c:pt>
                <c:pt idx="3">
                  <c:v>0.18000000000000022</c:v>
                </c:pt>
                <c:pt idx="4">
                  <c:v>0.11</c:v>
                </c:pt>
                <c:pt idx="5">
                  <c:v>0.19</c:v>
                </c:pt>
                <c:pt idx="6">
                  <c:v>0.14000000000000001</c:v>
                </c:pt>
                <c:pt idx="7">
                  <c:v>0.13</c:v>
                </c:pt>
              </c:numCache>
            </c:numRef>
          </c:val>
        </c:ser>
        <c:dLbls>
          <c:showLegendKey val="0"/>
          <c:showVal val="1"/>
          <c:showCatName val="0"/>
          <c:showSerName val="0"/>
          <c:showPercent val="0"/>
          <c:showBubbleSize val="0"/>
        </c:dLbls>
        <c:gapWidth val="40"/>
        <c:axId val="97663232"/>
        <c:axId val="97669120"/>
      </c:barChart>
      <c:catAx>
        <c:axId val="97663232"/>
        <c:scaling>
          <c:orientation val="maxMin"/>
        </c:scaling>
        <c:delete val="0"/>
        <c:axPos val="l"/>
        <c:majorTickMark val="none"/>
        <c:minorTickMark val="none"/>
        <c:tickLblPos val="low"/>
        <c:txPr>
          <a:bodyPr/>
          <a:lstStyle/>
          <a:p>
            <a:pPr>
              <a:defRPr sz="1050"/>
            </a:pPr>
            <a:endParaRPr lang="en-US"/>
          </a:p>
        </c:txPr>
        <c:crossAx val="97669120"/>
        <c:crosses val="autoZero"/>
        <c:auto val="1"/>
        <c:lblAlgn val="ctr"/>
        <c:lblOffset val="100"/>
        <c:noMultiLvlLbl val="0"/>
      </c:catAx>
      <c:valAx>
        <c:axId val="97669120"/>
        <c:scaling>
          <c:orientation val="minMax"/>
        </c:scaling>
        <c:delete val="1"/>
        <c:axPos val="b"/>
        <c:numFmt formatCode="0%" sourceLinked="1"/>
        <c:majorTickMark val="none"/>
        <c:minorTickMark val="none"/>
        <c:tickLblPos val="none"/>
        <c:crossAx val="97663232"/>
        <c:crosses val="max"/>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dLbl>
              <c:idx val="13"/>
              <c:tx>
                <c:rich>
                  <a:bodyPr/>
                  <a:lstStyle/>
                  <a:p>
                    <a:r>
                      <a:rPr lang="en-US" sz="1050"/>
                      <a:t>*</a:t>
                    </a:r>
                    <a:r>
                      <a:rPr lang="en-US"/>
                      <a:t>%</a:t>
                    </a:r>
                  </a:p>
                </c:rich>
              </c:tx>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charts!$A$631:$A$645</c:f>
              <c:strCache>
                <c:ptCount val="15"/>
                <c:pt idx="0">
                  <c:v>Lack of applicants with required working experience/job specific skills</c:v>
                </c:pt>
                <c:pt idx="1">
                  <c:v>Lack of applicants with required qualifications and skills</c:v>
                </c:pt>
                <c:pt idx="2">
                  <c:v>General lack of applicants</c:v>
                </c:pt>
                <c:pt idx="3">
                  <c:v>Applicants have poor motivation/attitude</c:v>
                </c:pt>
                <c:pt idx="4">
                  <c:v>Job entails shift work/unsociable hours</c:v>
                </c:pt>
                <c:pt idx="5">
                  <c:v>Location of business (too remote, difficult access etc)</c:v>
                </c:pt>
                <c:pt idx="6">
                  <c:v>Poor transport network makes it difficult to travel to work</c:v>
                </c:pt>
                <c:pt idx="7">
                  <c:v>Applicants lack basic ability to build upon</c:v>
                </c:pt>
                <c:pt idx="8">
                  <c:v>Higher wages/salaries offered by other companies</c:v>
                </c:pt>
                <c:pt idx="9">
                  <c:v>Competition from other companies other than higher wages/salaries</c:v>
                </c:pt>
                <c:pt idx="10">
                  <c:v>Problems with recruitment methods</c:v>
                </c:pt>
                <c:pt idx="11">
                  <c:v>Job unattractive</c:v>
                </c:pt>
                <c:pt idx="12">
                  <c:v>Other</c:v>
                </c:pt>
                <c:pt idx="13">
                  <c:v>Nothing in particular</c:v>
                </c:pt>
                <c:pt idx="14">
                  <c:v>Don't know</c:v>
                </c:pt>
              </c:strCache>
            </c:strRef>
          </c:cat>
          <c:val>
            <c:numRef>
              <c:f>charts!$B$631:$B$645</c:f>
              <c:numCache>
                <c:formatCode>0%</c:formatCode>
                <c:ptCount val="15"/>
                <c:pt idx="0">
                  <c:v>0.39000000000000051</c:v>
                </c:pt>
                <c:pt idx="1">
                  <c:v>0.37000000000000038</c:v>
                </c:pt>
                <c:pt idx="2">
                  <c:v>0.23</c:v>
                </c:pt>
                <c:pt idx="3">
                  <c:v>0.12000000000000002</c:v>
                </c:pt>
                <c:pt idx="4">
                  <c:v>7.0000000000000021E-2</c:v>
                </c:pt>
                <c:pt idx="5">
                  <c:v>7.0000000000000021E-2</c:v>
                </c:pt>
                <c:pt idx="6">
                  <c:v>0.05</c:v>
                </c:pt>
                <c:pt idx="7">
                  <c:v>0.05</c:v>
                </c:pt>
                <c:pt idx="8">
                  <c:v>4.0000000000000022E-2</c:v>
                </c:pt>
                <c:pt idx="9">
                  <c:v>3.0000000000000002E-2</c:v>
                </c:pt>
                <c:pt idx="10">
                  <c:v>2.0000000000000011E-2</c:v>
                </c:pt>
                <c:pt idx="11">
                  <c:v>1.0000000000000005E-2</c:v>
                </c:pt>
                <c:pt idx="12">
                  <c:v>3.0000000000000002E-2</c:v>
                </c:pt>
                <c:pt idx="13">
                  <c:v>3.000000000000004E-3</c:v>
                </c:pt>
                <c:pt idx="14">
                  <c:v>1.0000000000000005E-2</c:v>
                </c:pt>
              </c:numCache>
            </c:numRef>
          </c:val>
        </c:ser>
        <c:dLbls>
          <c:showLegendKey val="0"/>
          <c:showVal val="1"/>
          <c:showCatName val="0"/>
          <c:showSerName val="0"/>
          <c:showPercent val="0"/>
          <c:showBubbleSize val="0"/>
        </c:dLbls>
        <c:gapWidth val="40"/>
        <c:axId val="97705344"/>
        <c:axId val="97711232"/>
      </c:barChart>
      <c:catAx>
        <c:axId val="97705344"/>
        <c:scaling>
          <c:orientation val="maxMin"/>
        </c:scaling>
        <c:delete val="0"/>
        <c:axPos val="l"/>
        <c:majorTickMark val="none"/>
        <c:minorTickMark val="none"/>
        <c:tickLblPos val="low"/>
        <c:txPr>
          <a:bodyPr/>
          <a:lstStyle/>
          <a:p>
            <a:pPr>
              <a:defRPr sz="1050"/>
            </a:pPr>
            <a:endParaRPr lang="en-US"/>
          </a:p>
        </c:txPr>
        <c:crossAx val="97711232"/>
        <c:crosses val="autoZero"/>
        <c:auto val="1"/>
        <c:lblAlgn val="ctr"/>
        <c:lblOffset val="100"/>
        <c:noMultiLvlLbl val="0"/>
      </c:catAx>
      <c:valAx>
        <c:axId val="97711232"/>
        <c:scaling>
          <c:orientation val="minMax"/>
        </c:scaling>
        <c:delete val="1"/>
        <c:axPos val="b"/>
        <c:numFmt formatCode="0%" sourceLinked="1"/>
        <c:majorTickMark val="none"/>
        <c:minorTickMark val="none"/>
        <c:tickLblPos val="none"/>
        <c:crossAx val="97705344"/>
        <c:crosses val="max"/>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charts!$B$653:$F$653</c:f>
              <c:strCache>
                <c:ptCount val="5"/>
                <c:pt idx="0">
                  <c:v>All employers (1515)</c:v>
                </c:pt>
                <c:pt idx="1">
                  <c:v>2-9 employees (1018)</c:v>
                </c:pt>
                <c:pt idx="2">
                  <c:v>10-24 employees (307)</c:v>
                </c:pt>
                <c:pt idx="3">
                  <c:v>25-99 employees (151)</c:v>
                </c:pt>
                <c:pt idx="4">
                  <c:v>100+ employees (39)</c:v>
                </c:pt>
              </c:strCache>
            </c:strRef>
          </c:cat>
          <c:val>
            <c:numRef>
              <c:f>charts!$B$654:$F$654</c:f>
              <c:numCache>
                <c:formatCode>0%</c:formatCode>
                <c:ptCount val="5"/>
                <c:pt idx="0">
                  <c:v>0.17</c:v>
                </c:pt>
                <c:pt idx="1">
                  <c:v>0.12000000000000002</c:v>
                </c:pt>
                <c:pt idx="2">
                  <c:v>0.24000000000000021</c:v>
                </c:pt>
                <c:pt idx="3">
                  <c:v>0.37000000000000038</c:v>
                </c:pt>
                <c:pt idx="4">
                  <c:v>0.65000000000000113</c:v>
                </c:pt>
              </c:numCache>
            </c:numRef>
          </c:val>
        </c:ser>
        <c:dLbls>
          <c:showLegendKey val="0"/>
          <c:showVal val="1"/>
          <c:showCatName val="0"/>
          <c:showSerName val="0"/>
          <c:showPercent val="0"/>
          <c:showBubbleSize val="0"/>
        </c:dLbls>
        <c:gapWidth val="40"/>
        <c:axId val="97727232"/>
        <c:axId val="97728768"/>
      </c:barChart>
      <c:catAx>
        <c:axId val="97727232"/>
        <c:scaling>
          <c:orientation val="maxMin"/>
        </c:scaling>
        <c:delete val="0"/>
        <c:axPos val="l"/>
        <c:majorTickMark val="none"/>
        <c:minorTickMark val="none"/>
        <c:tickLblPos val="low"/>
        <c:txPr>
          <a:bodyPr/>
          <a:lstStyle/>
          <a:p>
            <a:pPr>
              <a:defRPr sz="1050"/>
            </a:pPr>
            <a:endParaRPr lang="en-US"/>
          </a:p>
        </c:txPr>
        <c:crossAx val="97728768"/>
        <c:crosses val="autoZero"/>
        <c:auto val="1"/>
        <c:lblAlgn val="ctr"/>
        <c:lblOffset val="100"/>
        <c:noMultiLvlLbl val="0"/>
      </c:catAx>
      <c:valAx>
        <c:axId val="97728768"/>
        <c:scaling>
          <c:orientation val="minMax"/>
        </c:scaling>
        <c:delete val="1"/>
        <c:axPos val="b"/>
        <c:numFmt formatCode="0%" sourceLinked="1"/>
        <c:majorTickMark val="none"/>
        <c:minorTickMark val="none"/>
        <c:tickLblPos val="none"/>
        <c:crossAx val="97727232"/>
        <c:crosses val="max"/>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565780619816872"/>
          <c:y val="9.6252377981825968E-2"/>
          <c:w val="0.61407174762297523"/>
          <c:h val="0.84213820819676199"/>
        </c:manualLayout>
      </c:layout>
      <c:barChart>
        <c:barDir val="bar"/>
        <c:grouping val="clustered"/>
        <c:varyColors val="0"/>
        <c:ser>
          <c:idx val="0"/>
          <c:order val="0"/>
          <c:tx>
            <c:strRef>
              <c:f>charts!$A$670</c:f>
              <c:strCache>
                <c:ptCount val="1"/>
                <c:pt idx="0">
                  <c:v>Current skills gap</c:v>
                </c:pt>
              </c:strCache>
            </c:strRef>
          </c:tx>
          <c:invertIfNegative val="0"/>
          <c:dLbls>
            <c:dLbl>
              <c:idx val="4"/>
              <c:spPr/>
              <c:txPr>
                <a:bodyPr/>
                <a:lstStyle/>
                <a:p>
                  <a:pPr>
                    <a:defRPr sz="1100" b="1"/>
                  </a:pPr>
                  <a:endParaRPr lang="en-US"/>
                </a:p>
              </c:txPr>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charts!$B$669:$Q$669</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Manufacturing/Engineering (85)</c:v>
                </c:pt>
                <c:pt idx="12">
                  <c:v>Visitor Economy (169)</c:v>
                </c:pt>
                <c:pt idx="13">
                  <c:v>  Renewables* (6)</c:v>
                </c:pt>
                <c:pt idx="14">
                  <c:v>Ports &amp; Logistics* (30)</c:v>
                </c:pt>
                <c:pt idx="15">
                  <c:v>Health &amp; Care (126)</c:v>
                </c:pt>
              </c:strCache>
            </c:strRef>
          </c:cat>
          <c:val>
            <c:numRef>
              <c:f>charts!$B$670:$Q$670</c:f>
              <c:numCache>
                <c:formatCode>0%</c:formatCode>
                <c:ptCount val="16"/>
                <c:pt idx="0">
                  <c:v>0.1</c:v>
                </c:pt>
                <c:pt idx="1">
                  <c:v>9.0000000000000024E-2</c:v>
                </c:pt>
                <c:pt idx="2">
                  <c:v>0</c:v>
                </c:pt>
                <c:pt idx="3">
                  <c:v>7.0000000000000021E-2</c:v>
                </c:pt>
                <c:pt idx="4">
                  <c:v>0.19</c:v>
                </c:pt>
                <c:pt idx="5">
                  <c:v>0.13</c:v>
                </c:pt>
                <c:pt idx="6">
                  <c:v>9.0000000000000024E-2</c:v>
                </c:pt>
                <c:pt idx="7">
                  <c:v>0.13</c:v>
                </c:pt>
                <c:pt idx="8">
                  <c:v>9.0000000000000024E-2</c:v>
                </c:pt>
                <c:pt idx="9">
                  <c:v>8.0000000000000043E-2</c:v>
                </c:pt>
                <c:pt idx="10">
                  <c:v>0.1</c:v>
                </c:pt>
                <c:pt idx="11">
                  <c:v>0.15000000000000011</c:v>
                </c:pt>
                <c:pt idx="12">
                  <c:v>7.0000000000000021E-2</c:v>
                </c:pt>
                <c:pt idx="13">
                  <c:v>0</c:v>
                </c:pt>
                <c:pt idx="14">
                  <c:v>8.0000000000000043E-2</c:v>
                </c:pt>
                <c:pt idx="15">
                  <c:v>8.0000000000000043E-2</c:v>
                </c:pt>
              </c:numCache>
            </c:numRef>
          </c:val>
        </c:ser>
        <c:ser>
          <c:idx val="1"/>
          <c:order val="1"/>
          <c:tx>
            <c:strRef>
              <c:f>charts!$A$671</c:f>
              <c:strCache>
                <c:ptCount val="1"/>
                <c:pt idx="0">
                  <c:v>Future skills gap</c:v>
                </c:pt>
              </c:strCache>
            </c:strRef>
          </c:tx>
          <c:invertIfNegative val="0"/>
          <c:dLbls>
            <c:dLbl>
              <c:idx val="5"/>
              <c:spPr/>
              <c:txPr>
                <a:bodyPr/>
                <a:lstStyle/>
                <a:p>
                  <a:pPr>
                    <a:defRPr sz="1100" b="1"/>
                  </a:pPr>
                  <a:endParaRPr lang="en-US"/>
                </a:p>
              </c:txPr>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charts!$B$669:$Q$669</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Manufacturing/Engineering (85)</c:v>
                </c:pt>
                <c:pt idx="12">
                  <c:v>Visitor Economy (169)</c:v>
                </c:pt>
                <c:pt idx="13">
                  <c:v>  Renewables* (6)</c:v>
                </c:pt>
                <c:pt idx="14">
                  <c:v>Ports &amp; Logistics* (30)</c:v>
                </c:pt>
                <c:pt idx="15">
                  <c:v>Health &amp; Care (126)</c:v>
                </c:pt>
              </c:strCache>
            </c:strRef>
          </c:cat>
          <c:val>
            <c:numRef>
              <c:f>charts!$B$671:$Q$671</c:f>
              <c:numCache>
                <c:formatCode>0%</c:formatCode>
                <c:ptCount val="16"/>
                <c:pt idx="0">
                  <c:v>0.15000000000000011</c:v>
                </c:pt>
                <c:pt idx="1">
                  <c:v>0.19</c:v>
                </c:pt>
                <c:pt idx="2">
                  <c:v>0</c:v>
                </c:pt>
                <c:pt idx="3">
                  <c:v>0.13</c:v>
                </c:pt>
                <c:pt idx="4">
                  <c:v>0.2100000000000001</c:v>
                </c:pt>
                <c:pt idx="5">
                  <c:v>0.26</c:v>
                </c:pt>
                <c:pt idx="6">
                  <c:v>0.13</c:v>
                </c:pt>
                <c:pt idx="7">
                  <c:v>0.15000000000000011</c:v>
                </c:pt>
                <c:pt idx="8">
                  <c:v>0.14000000000000001</c:v>
                </c:pt>
                <c:pt idx="9">
                  <c:v>0.14000000000000001</c:v>
                </c:pt>
                <c:pt idx="10">
                  <c:v>0.16</c:v>
                </c:pt>
                <c:pt idx="11">
                  <c:v>0.12000000000000002</c:v>
                </c:pt>
                <c:pt idx="12">
                  <c:v>0.16</c:v>
                </c:pt>
                <c:pt idx="13">
                  <c:v>0</c:v>
                </c:pt>
                <c:pt idx="14">
                  <c:v>0.05</c:v>
                </c:pt>
                <c:pt idx="15">
                  <c:v>0.11</c:v>
                </c:pt>
              </c:numCache>
            </c:numRef>
          </c:val>
        </c:ser>
        <c:dLbls>
          <c:showLegendKey val="0"/>
          <c:showVal val="1"/>
          <c:showCatName val="0"/>
          <c:showSerName val="0"/>
          <c:showPercent val="0"/>
          <c:showBubbleSize val="0"/>
        </c:dLbls>
        <c:gapWidth val="40"/>
        <c:overlap val="-1"/>
        <c:axId val="97771520"/>
        <c:axId val="97773056"/>
      </c:barChart>
      <c:catAx>
        <c:axId val="97771520"/>
        <c:scaling>
          <c:orientation val="maxMin"/>
        </c:scaling>
        <c:delete val="0"/>
        <c:axPos val="l"/>
        <c:majorTickMark val="none"/>
        <c:minorTickMark val="none"/>
        <c:tickLblPos val="nextTo"/>
        <c:txPr>
          <a:bodyPr/>
          <a:lstStyle/>
          <a:p>
            <a:pPr>
              <a:defRPr sz="1050"/>
            </a:pPr>
            <a:endParaRPr lang="en-US"/>
          </a:p>
        </c:txPr>
        <c:crossAx val="97773056"/>
        <c:crosses val="autoZero"/>
        <c:auto val="1"/>
        <c:lblAlgn val="ctr"/>
        <c:lblOffset val="100"/>
        <c:noMultiLvlLbl val="0"/>
      </c:catAx>
      <c:valAx>
        <c:axId val="97773056"/>
        <c:scaling>
          <c:orientation val="minMax"/>
        </c:scaling>
        <c:delete val="1"/>
        <c:axPos val="b"/>
        <c:numFmt formatCode="0%" sourceLinked="1"/>
        <c:majorTickMark val="out"/>
        <c:minorTickMark val="none"/>
        <c:tickLblPos val="none"/>
        <c:crossAx val="97771520"/>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charts!$A$42</c:f>
              <c:strCache>
                <c:ptCount val="1"/>
                <c:pt idx="0">
                  <c:v>Considering relocation within Greater Lincolnshire</c:v>
                </c:pt>
              </c:strCache>
            </c:strRef>
          </c:tx>
          <c:invertIfNegative val="0"/>
          <c:dLbls>
            <c:txPr>
              <a:bodyPr/>
              <a:lstStyle/>
              <a:p>
                <a:pPr>
                  <a:defRPr sz="1050">
                    <a:solidFill>
                      <a:schemeClr val="bg1"/>
                    </a:solidFill>
                  </a:defRPr>
                </a:pPr>
                <a:endParaRPr lang="en-US"/>
              </a:p>
            </c:txPr>
            <c:showLegendKey val="0"/>
            <c:showVal val="1"/>
            <c:showCatName val="0"/>
            <c:showSerName val="0"/>
            <c:showPercent val="0"/>
            <c:showBubbleSize val="0"/>
            <c:showLeaderLines val="0"/>
          </c:dLbls>
          <c:cat>
            <c:strRef>
              <c:f>charts!$B$41:$Q$41</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Manufacturing/Engineering (85)</c:v>
                </c:pt>
                <c:pt idx="12">
                  <c:v>Visitor Economy (169)</c:v>
                </c:pt>
                <c:pt idx="13">
                  <c:v>  Renewables* (6)</c:v>
                </c:pt>
                <c:pt idx="14">
                  <c:v>Ports &amp; Logistics* (30)</c:v>
                </c:pt>
                <c:pt idx="15">
                  <c:v>Health &amp; Care (126)</c:v>
                </c:pt>
              </c:strCache>
            </c:strRef>
          </c:cat>
          <c:val>
            <c:numRef>
              <c:f>charts!$B$42:$Q$42</c:f>
              <c:numCache>
                <c:formatCode>0%</c:formatCode>
                <c:ptCount val="16"/>
                <c:pt idx="0">
                  <c:v>0.11</c:v>
                </c:pt>
                <c:pt idx="1">
                  <c:v>4.0000000000000022E-2</c:v>
                </c:pt>
                <c:pt idx="2">
                  <c:v>0.13</c:v>
                </c:pt>
                <c:pt idx="3">
                  <c:v>0.12000000000000002</c:v>
                </c:pt>
                <c:pt idx="4">
                  <c:v>0.14000000000000001</c:v>
                </c:pt>
                <c:pt idx="5">
                  <c:v>0.2</c:v>
                </c:pt>
                <c:pt idx="6">
                  <c:v>7.0000000000000021E-2</c:v>
                </c:pt>
                <c:pt idx="7">
                  <c:v>0.15000000000000011</c:v>
                </c:pt>
                <c:pt idx="8">
                  <c:v>0.12000000000000002</c:v>
                </c:pt>
                <c:pt idx="9">
                  <c:v>0.12000000000000002</c:v>
                </c:pt>
                <c:pt idx="10">
                  <c:v>4.0000000000000022E-2</c:v>
                </c:pt>
                <c:pt idx="11">
                  <c:v>0.1800000000000001</c:v>
                </c:pt>
                <c:pt idx="12">
                  <c:v>6.0000000000000032E-2</c:v>
                </c:pt>
                <c:pt idx="13">
                  <c:v>0.22</c:v>
                </c:pt>
                <c:pt idx="14">
                  <c:v>0.1800000000000001</c:v>
                </c:pt>
                <c:pt idx="15">
                  <c:v>9.0000000000000024E-2</c:v>
                </c:pt>
              </c:numCache>
            </c:numRef>
          </c:val>
        </c:ser>
        <c:ser>
          <c:idx val="1"/>
          <c:order val="1"/>
          <c:tx>
            <c:strRef>
              <c:f>charts!$A$43</c:f>
              <c:strCache>
                <c:ptCount val="1"/>
                <c:pt idx="0">
                  <c:v>Considering relocation outside Greater Lincolnshire</c:v>
                </c:pt>
              </c:strCache>
            </c:strRef>
          </c:tx>
          <c:invertIfNegative val="0"/>
          <c:dLbls>
            <c:dLbl>
              <c:idx val="1"/>
              <c:delete val="1"/>
            </c:dLbl>
            <c:dLbl>
              <c:idx val="2"/>
              <c:delete val="1"/>
            </c:dLbl>
            <c:dLbl>
              <c:idx val="10"/>
              <c:delete val="1"/>
            </c:dLbl>
            <c:dLbl>
              <c:idx val="13"/>
              <c:delete val="1"/>
            </c:dLbl>
            <c:dLbl>
              <c:idx val="14"/>
              <c:delete val="1"/>
            </c:dLbl>
            <c:dLbl>
              <c:idx val="15"/>
              <c:delete val="1"/>
            </c:dLbl>
            <c:txPr>
              <a:bodyPr/>
              <a:lstStyle/>
              <a:p>
                <a:pPr>
                  <a:defRPr sz="1050">
                    <a:solidFill>
                      <a:schemeClr val="bg1"/>
                    </a:solidFill>
                  </a:defRPr>
                </a:pPr>
                <a:endParaRPr lang="en-US"/>
              </a:p>
            </c:txPr>
            <c:showLegendKey val="0"/>
            <c:showVal val="1"/>
            <c:showCatName val="0"/>
            <c:showSerName val="0"/>
            <c:showPercent val="0"/>
            <c:showBubbleSize val="0"/>
            <c:showLeaderLines val="0"/>
          </c:dLbls>
          <c:cat>
            <c:strRef>
              <c:f>charts!$B$41:$Q$41</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Manufacturing/Engineering (85)</c:v>
                </c:pt>
                <c:pt idx="12">
                  <c:v>Visitor Economy (169)</c:v>
                </c:pt>
                <c:pt idx="13">
                  <c:v>  Renewables* (6)</c:v>
                </c:pt>
                <c:pt idx="14">
                  <c:v>Ports &amp; Logistics* (30)</c:v>
                </c:pt>
                <c:pt idx="15">
                  <c:v>Health &amp; Care (126)</c:v>
                </c:pt>
              </c:strCache>
            </c:strRef>
          </c:cat>
          <c:val>
            <c:numRef>
              <c:f>charts!$B$43:$Q$43</c:f>
              <c:numCache>
                <c:formatCode>0%</c:formatCode>
                <c:ptCount val="16"/>
                <c:pt idx="0">
                  <c:v>1.0000000000000005E-2</c:v>
                </c:pt>
                <c:pt idx="1">
                  <c:v>0</c:v>
                </c:pt>
                <c:pt idx="2">
                  <c:v>0</c:v>
                </c:pt>
                <c:pt idx="3">
                  <c:v>2.0000000000000011E-2</c:v>
                </c:pt>
                <c:pt idx="4">
                  <c:v>2.0000000000000011E-2</c:v>
                </c:pt>
                <c:pt idx="5">
                  <c:v>2.0000000000000011E-2</c:v>
                </c:pt>
                <c:pt idx="6">
                  <c:v>1.0000000000000005E-2</c:v>
                </c:pt>
                <c:pt idx="7">
                  <c:v>3.0000000000000002E-2</c:v>
                </c:pt>
                <c:pt idx="8">
                  <c:v>1.0000000000000005E-2</c:v>
                </c:pt>
                <c:pt idx="9">
                  <c:v>1.0000000000000005E-2</c:v>
                </c:pt>
                <c:pt idx="10">
                  <c:v>0</c:v>
                </c:pt>
                <c:pt idx="11">
                  <c:v>3.0000000000000002E-2</c:v>
                </c:pt>
                <c:pt idx="12">
                  <c:v>2.0000000000000011E-2</c:v>
                </c:pt>
                <c:pt idx="13">
                  <c:v>0</c:v>
                </c:pt>
                <c:pt idx="14">
                  <c:v>0</c:v>
                </c:pt>
                <c:pt idx="15">
                  <c:v>0</c:v>
                </c:pt>
              </c:numCache>
            </c:numRef>
          </c:val>
        </c:ser>
        <c:dLbls>
          <c:showLegendKey val="0"/>
          <c:showVal val="1"/>
          <c:showCatName val="0"/>
          <c:showSerName val="0"/>
          <c:showPercent val="0"/>
          <c:showBubbleSize val="0"/>
        </c:dLbls>
        <c:gapWidth val="40"/>
        <c:overlap val="100"/>
        <c:axId val="25138688"/>
        <c:axId val="25140224"/>
      </c:barChart>
      <c:catAx>
        <c:axId val="25138688"/>
        <c:scaling>
          <c:orientation val="maxMin"/>
        </c:scaling>
        <c:delete val="0"/>
        <c:axPos val="l"/>
        <c:majorTickMark val="none"/>
        <c:minorTickMark val="none"/>
        <c:tickLblPos val="low"/>
        <c:txPr>
          <a:bodyPr/>
          <a:lstStyle/>
          <a:p>
            <a:pPr>
              <a:defRPr sz="1050"/>
            </a:pPr>
            <a:endParaRPr lang="en-US"/>
          </a:p>
        </c:txPr>
        <c:crossAx val="25140224"/>
        <c:crosses val="autoZero"/>
        <c:auto val="1"/>
        <c:lblAlgn val="ctr"/>
        <c:lblOffset val="100"/>
        <c:noMultiLvlLbl val="0"/>
      </c:catAx>
      <c:valAx>
        <c:axId val="25140224"/>
        <c:scaling>
          <c:orientation val="minMax"/>
        </c:scaling>
        <c:delete val="1"/>
        <c:axPos val="b"/>
        <c:numFmt formatCode="0%" sourceLinked="1"/>
        <c:majorTickMark val="none"/>
        <c:minorTickMark val="none"/>
        <c:tickLblPos val="none"/>
        <c:crossAx val="25138688"/>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charts!$A$684:$A$698</c:f>
              <c:strCache>
                <c:ptCount val="15"/>
                <c:pt idx="0">
                  <c:v>Technical, practical or job specific skills</c:v>
                </c:pt>
                <c:pt idx="1">
                  <c:v>Planning and organising skills</c:v>
                </c:pt>
                <c:pt idx="2">
                  <c:v>Problem solving skills</c:v>
                </c:pt>
                <c:pt idx="3">
                  <c:v>Oral communication skills</c:v>
                </c:pt>
                <c:pt idx="4">
                  <c:v>Customer handling skills</c:v>
                </c:pt>
                <c:pt idx="5">
                  <c:v>Strategic management skills</c:v>
                </c:pt>
                <c:pt idx="6">
                  <c:v>Team working skills</c:v>
                </c:pt>
                <c:pt idx="7">
                  <c:v>Written communication skills</c:v>
                </c:pt>
                <c:pt idx="8">
                  <c:v>Advanced IT or software skills</c:v>
                </c:pt>
                <c:pt idx="9">
                  <c:v>Basic computer literacy/using IT</c:v>
                </c:pt>
                <c:pt idx="10">
                  <c:v>Numeracy skills</c:v>
                </c:pt>
                <c:pt idx="11">
                  <c:v>Literacy skills</c:v>
                </c:pt>
                <c:pt idx="12">
                  <c:v>Foreign language skills</c:v>
                </c:pt>
                <c:pt idx="13">
                  <c:v>Any other skills</c:v>
                </c:pt>
                <c:pt idx="14">
                  <c:v>No particular skills difficulties</c:v>
                </c:pt>
              </c:strCache>
            </c:strRef>
          </c:cat>
          <c:val>
            <c:numRef>
              <c:f>charts!$B$684:$B$698</c:f>
              <c:numCache>
                <c:formatCode>0%</c:formatCode>
                <c:ptCount val="15"/>
                <c:pt idx="0">
                  <c:v>0.71000000000000063</c:v>
                </c:pt>
                <c:pt idx="1">
                  <c:v>0.51</c:v>
                </c:pt>
                <c:pt idx="2">
                  <c:v>0.44</c:v>
                </c:pt>
                <c:pt idx="3">
                  <c:v>0.42000000000000032</c:v>
                </c:pt>
                <c:pt idx="4">
                  <c:v>0.39000000000000051</c:v>
                </c:pt>
                <c:pt idx="5">
                  <c:v>0.39000000000000051</c:v>
                </c:pt>
                <c:pt idx="6">
                  <c:v>0.3800000000000005</c:v>
                </c:pt>
                <c:pt idx="7">
                  <c:v>0.35000000000000031</c:v>
                </c:pt>
                <c:pt idx="8">
                  <c:v>0.32000000000000051</c:v>
                </c:pt>
                <c:pt idx="9">
                  <c:v>0.31000000000000044</c:v>
                </c:pt>
                <c:pt idx="10">
                  <c:v>0.27</c:v>
                </c:pt>
                <c:pt idx="11">
                  <c:v>0.27</c:v>
                </c:pt>
                <c:pt idx="12">
                  <c:v>0.19</c:v>
                </c:pt>
                <c:pt idx="13">
                  <c:v>7.0000000000000021E-2</c:v>
                </c:pt>
                <c:pt idx="14">
                  <c:v>4.0000000000000022E-2</c:v>
                </c:pt>
              </c:numCache>
            </c:numRef>
          </c:val>
        </c:ser>
        <c:dLbls>
          <c:showLegendKey val="0"/>
          <c:showVal val="1"/>
          <c:showCatName val="0"/>
          <c:showSerName val="0"/>
          <c:showPercent val="0"/>
          <c:showBubbleSize val="0"/>
        </c:dLbls>
        <c:gapWidth val="40"/>
        <c:axId val="99042816"/>
        <c:axId val="99044352"/>
      </c:barChart>
      <c:catAx>
        <c:axId val="99042816"/>
        <c:scaling>
          <c:orientation val="maxMin"/>
        </c:scaling>
        <c:delete val="0"/>
        <c:axPos val="l"/>
        <c:majorTickMark val="none"/>
        <c:minorTickMark val="none"/>
        <c:tickLblPos val="low"/>
        <c:txPr>
          <a:bodyPr/>
          <a:lstStyle/>
          <a:p>
            <a:pPr>
              <a:defRPr sz="1050"/>
            </a:pPr>
            <a:endParaRPr lang="en-US"/>
          </a:p>
        </c:txPr>
        <c:crossAx val="99044352"/>
        <c:crosses val="autoZero"/>
        <c:auto val="1"/>
        <c:lblAlgn val="ctr"/>
        <c:lblOffset val="100"/>
        <c:noMultiLvlLbl val="0"/>
      </c:catAx>
      <c:valAx>
        <c:axId val="99044352"/>
        <c:scaling>
          <c:orientation val="minMax"/>
        </c:scaling>
        <c:delete val="1"/>
        <c:axPos val="b"/>
        <c:numFmt formatCode="0%" sourceLinked="1"/>
        <c:majorTickMark val="none"/>
        <c:minorTickMark val="none"/>
        <c:tickLblPos val="none"/>
        <c:crossAx val="99042816"/>
        <c:crosses val="max"/>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charts!$B$707:$F$707</c:f>
              <c:strCache>
                <c:ptCount val="5"/>
                <c:pt idx="0">
                  <c:v>All employers (1515)</c:v>
                </c:pt>
                <c:pt idx="1">
                  <c:v>2-9 employees (1018)</c:v>
                </c:pt>
                <c:pt idx="2">
                  <c:v>10-24 employees (307)</c:v>
                </c:pt>
                <c:pt idx="3">
                  <c:v>25-99 employees (151)</c:v>
                </c:pt>
                <c:pt idx="4">
                  <c:v>100+ employees (39)</c:v>
                </c:pt>
              </c:strCache>
            </c:strRef>
          </c:cat>
          <c:val>
            <c:numRef>
              <c:f>charts!$B$708:$F$708</c:f>
              <c:numCache>
                <c:formatCode>0%</c:formatCode>
                <c:ptCount val="5"/>
                <c:pt idx="0">
                  <c:v>0.5</c:v>
                </c:pt>
                <c:pt idx="1">
                  <c:v>0.3800000000000005</c:v>
                </c:pt>
                <c:pt idx="2">
                  <c:v>0.78</c:v>
                </c:pt>
                <c:pt idx="3">
                  <c:v>0.91</c:v>
                </c:pt>
                <c:pt idx="4">
                  <c:v>0.95000000000000062</c:v>
                </c:pt>
              </c:numCache>
            </c:numRef>
          </c:val>
        </c:ser>
        <c:dLbls>
          <c:showLegendKey val="0"/>
          <c:showVal val="1"/>
          <c:showCatName val="0"/>
          <c:showSerName val="0"/>
          <c:showPercent val="0"/>
          <c:showBubbleSize val="0"/>
        </c:dLbls>
        <c:gapWidth val="40"/>
        <c:axId val="99060352"/>
        <c:axId val="99074432"/>
      </c:barChart>
      <c:catAx>
        <c:axId val="99060352"/>
        <c:scaling>
          <c:orientation val="maxMin"/>
        </c:scaling>
        <c:delete val="0"/>
        <c:axPos val="l"/>
        <c:majorTickMark val="none"/>
        <c:minorTickMark val="none"/>
        <c:tickLblPos val="low"/>
        <c:txPr>
          <a:bodyPr/>
          <a:lstStyle/>
          <a:p>
            <a:pPr>
              <a:defRPr sz="1050"/>
            </a:pPr>
            <a:endParaRPr lang="en-US"/>
          </a:p>
        </c:txPr>
        <c:crossAx val="99074432"/>
        <c:crosses val="autoZero"/>
        <c:auto val="1"/>
        <c:lblAlgn val="ctr"/>
        <c:lblOffset val="100"/>
        <c:noMultiLvlLbl val="0"/>
      </c:catAx>
      <c:valAx>
        <c:axId val="99074432"/>
        <c:scaling>
          <c:orientation val="minMax"/>
        </c:scaling>
        <c:delete val="1"/>
        <c:axPos val="b"/>
        <c:numFmt formatCode="0%" sourceLinked="1"/>
        <c:majorTickMark val="none"/>
        <c:minorTickMark val="none"/>
        <c:tickLblPos val="none"/>
        <c:crossAx val="99060352"/>
        <c:crosses val="max"/>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565780619816872"/>
          <c:y val="9.6252377981825968E-2"/>
          <c:w val="0.61407174762297523"/>
          <c:h val="0.84213820819676199"/>
        </c:manualLayout>
      </c:layout>
      <c:barChart>
        <c:barDir val="bar"/>
        <c:grouping val="clustered"/>
        <c:varyColors val="0"/>
        <c:ser>
          <c:idx val="0"/>
          <c:order val="0"/>
          <c:tx>
            <c:strRef>
              <c:f>charts!$A$721</c:f>
              <c:strCache>
                <c:ptCount val="1"/>
                <c:pt idx="0">
                  <c:v>Any off-the-job training</c:v>
                </c:pt>
              </c:strCache>
            </c:strRef>
          </c:tx>
          <c:invertIfNegative val="0"/>
          <c:dLbls>
            <c:dLbl>
              <c:idx val="1"/>
              <c:spPr/>
              <c:txPr>
                <a:bodyPr/>
                <a:lstStyle/>
                <a:p>
                  <a:pPr>
                    <a:defRPr sz="1100" i="1"/>
                  </a:pPr>
                  <a:endParaRPr lang="en-US"/>
                </a:p>
              </c:txPr>
              <c:showLegendKey val="0"/>
              <c:showVal val="1"/>
              <c:showCatName val="0"/>
              <c:showSerName val="0"/>
              <c:showPercent val="0"/>
              <c:showBubbleSize val="0"/>
            </c:dLbl>
            <c:dLbl>
              <c:idx val="2"/>
              <c:spPr/>
              <c:txPr>
                <a:bodyPr/>
                <a:lstStyle/>
                <a:p>
                  <a:pPr>
                    <a:defRPr sz="1100" b="1"/>
                  </a:pPr>
                  <a:endParaRPr lang="en-US"/>
                </a:p>
              </c:txPr>
              <c:showLegendKey val="0"/>
              <c:showVal val="1"/>
              <c:showCatName val="0"/>
              <c:showSerName val="0"/>
              <c:showPercent val="0"/>
              <c:showBubbleSize val="0"/>
            </c:dLbl>
            <c:dLbl>
              <c:idx val="3"/>
              <c:spPr/>
              <c:txPr>
                <a:bodyPr/>
                <a:lstStyle/>
                <a:p>
                  <a:pPr>
                    <a:defRPr sz="1100" b="1"/>
                  </a:pPr>
                  <a:endParaRPr lang="en-US"/>
                </a:p>
              </c:txPr>
              <c:showLegendKey val="0"/>
              <c:showVal val="1"/>
              <c:showCatName val="0"/>
              <c:showSerName val="0"/>
              <c:showPercent val="0"/>
              <c:showBubbleSize val="0"/>
            </c:dLbl>
            <c:dLbl>
              <c:idx val="4"/>
              <c:spPr/>
              <c:txPr>
                <a:bodyPr/>
                <a:lstStyle/>
                <a:p>
                  <a:pPr>
                    <a:defRPr sz="1100" b="1"/>
                  </a:pPr>
                  <a:endParaRPr lang="en-US"/>
                </a:p>
              </c:txPr>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charts!$B$720:$F$720</c:f>
              <c:strCache>
                <c:ptCount val="5"/>
                <c:pt idx="0">
                  <c:v>All employers (1515)</c:v>
                </c:pt>
                <c:pt idx="1">
                  <c:v>2-9 employees (1018)</c:v>
                </c:pt>
                <c:pt idx="2">
                  <c:v>10-24 employees (307)</c:v>
                </c:pt>
                <c:pt idx="3">
                  <c:v>25-99 employees (151)</c:v>
                </c:pt>
                <c:pt idx="4">
                  <c:v>100+ employees (39)</c:v>
                </c:pt>
              </c:strCache>
            </c:strRef>
          </c:cat>
          <c:val>
            <c:numRef>
              <c:f>charts!$B$721:$F$721</c:f>
              <c:numCache>
                <c:formatCode>0%</c:formatCode>
                <c:ptCount val="5"/>
                <c:pt idx="0">
                  <c:v>0.48000000000000032</c:v>
                </c:pt>
                <c:pt idx="1">
                  <c:v>0.3800000000000005</c:v>
                </c:pt>
                <c:pt idx="2">
                  <c:v>0.68</c:v>
                </c:pt>
                <c:pt idx="3">
                  <c:v>0.84000000000000064</c:v>
                </c:pt>
                <c:pt idx="4">
                  <c:v>0.9</c:v>
                </c:pt>
              </c:numCache>
            </c:numRef>
          </c:val>
        </c:ser>
        <c:ser>
          <c:idx val="1"/>
          <c:order val="1"/>
          <c:tx>
            <c:strRef>
              <c:f>charts!$A$722</c:f>
              <c:strCache>
                <c:ptCount val="1"/>
                <c:pt idx="0">
                  <c:v>Any on-the-job training</c:v>
                </c:pt>
              </c:strCache>
            </c:strRef>
          </c:tx>
          <c:invertIfNegative val="0"/>
          <c:dLbls>
            <c:dLbl>
              <c:idx val="1"/>
              <c:spPr/>
              <c:txPr>
                <a:bodyPr/>
                <a:lstStyle/>
                <a:p>
                  <a:pPr>
                    <a:defRPr sz="1100" i="1"/>
                  </a:pPr>
                  <a:endParaRPr lang="en-US"/>
                </a:p>
              </c:txPr>
              <c:showLegendKey val="0"/>
              <c:showVal val="1"/>
              <c:showCatName val="0"/>
              <c:showSerName val="0"/>
              <c:showPercent val="0"/>
              <c:showBubbleSize val="0"/>
            </c:dLbl>
            <c:dLbl>
              <c:idx val="2"/>
              <c:spPr/>
              <c:txPr>
                <a:bodyPr/>
                <a:lstStyle/>
                <a:p>
                  <a:pPr>
                    <a:defRPr sz="1100" b="1"/>
                  </a:pPr>
                  <a:endParaRPr lang="en-US"/>
                </a:p>
              </c:txPr>
              <c:showLegendKey val="0"/>
              <c:showVal val="1"/>
              <c:showCatName val="0"/>
              <c:showSerName val="0"/>
              <c:showPercent val="0"/>
              <c:showBubbleSize val="0"/>
            </c:dLbl>
            <c:dLbl>
              <c:idx val="3"/>
              <c:spPr/>
              <c:txPr>
                <a:bodyPr/>
                <a:lstStyle/>
                <a:p>
                  <a:pPr>
                    <a:defRPr sz="1100" b="1"/>
                  </a:pPr>
                  <a:endParaRPr lang="en-US"/>
                </a:p>
              </c:txPr>
              <c:showLegendKey val="0"/>
              <c:showVal val="1"/>
              <c:showCatName val="0"/>
              <c:showSerName val="0"/>
              <c:showPercent val="0"/>
              <c:showBubbleSize val="0"/>
            </c:dLbl>
            <c:dLbl>
              <c:idx val="4"/>
              <c:spPr/>
              <c:txPr>
                <a:bodyPr/>
                <a:lstStyle/>
                <a:p>
                  <a:pPr>
                    <a:defRPr sz="1100" b="1"/>
                  </a:pPr>
                  <a:endParaRPr lang="en-US"/>
                </a:p>
              </c:txPr>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charts!$B$720:$F$720</c:f>
              <c:strCache>
                <c:ptCount val="5"/>
                <c:pt idx="0">
                  <c:v>All employers (1515)</c:v>
                </c:pt>
                <c:pt idx="1">
                  <c:v>2-9 employees (1018)</c:v>
                </c:pt>
                <c:pt idx="2">
                  <c:v>10-24 employees (307)</c:v>
                </c:pt>
                <c:pt idx="3">
                  <c:v>25-99 employees (151)</c:v>
                </c:pt>
                <c:pt idx="4">
                  <c:v>100+ employees (39)</c:v>
                </c:pt>
              </c:strCache>
            </c:strRef>
          </c:cat>
          <c:val>
            <c:numRef>
              <c:f>charts!$B$722:$F$722</c:f>
              <c:numCache>
                <c:formatCode>0%</c:formatCode>
                <c:ptCount val="5"/>
                <c:pt idx="0">
                  <c:v>0.51</c:v>
                </c:pt>
                <c:pt idx="1">
                  <c:v>0.39000000000000051</c:v>
                </c:pt>
                <c:pt idx="2">
                  <c:v>0.77000000000000102</c:v>
                </c:pt>
                <c:pt idx="3">
                  <c:v>0.89</c:v>
                </c:pt>
                <c:pt idx="4">
                  <c:v>0.94000000000000061</c:v>
                </c:pt>
              </c:numCache>
            </c:numRef>
          </c:val>
        </c:ser>
        <c:ser>
          <c:idx val="2"/>
          <c:order val="2"/>
          <c:tx>
            <c:strRef>
              <c:f>charts!$A$723</c:f>
              <c:strCache>
                <c:ptCount val="1"/>
                <c:pt idx="0">
                  <c:v>Any training</c:v>
                </c:pt>
              </c:strCache>
            </c:strRef>
          </c:tx>
          <c:invertIfNegative val="0"/>
          <c:dLbls>
            <c:dLbl>
              <c:idx val="1"/>
              <c:spPr/>
              <c:txPr>
                <a:bodyPr/>
                <a:lstStyle/>
                <a:p>
                  <a:pPr>
                    <a:defRPr sz="1100" i="1"/>
                  </a:pPr>
                  <a:endParaRPr lang="en-US"/>
                </a:p>
              </c:txPr>
              <c:showLegendKey val="0"/>
              <c:showVal val="1"/>
              <c:showCatName val="0"/>
              <c:showSerName val="0"/>
              <c:showPercent val="0"/>
              <c:showBubbleSize val="0"/>
            </c:dLbl>
            <c:dLbl>
              <c:idx val="2"/>
              <c:spPr/>
              <c:txPr>
                <a:bodyPr/>
                <a:lstStyle/>
                <a:p>
                  <a:pPr>
                    <a:defRPr sz="1100" b="1"/>
                  </a:pPr>
                  <a:endParaRPr lang="en-US"/>
                </a:p>
              </c:txPr>
              <c:showLegendKey val="0"/>
              <c:showVal val="1"/>
              <c:showCatName val="0"/>
              <c:showSerName val="0"/>
              <c:showPercent val="0"/>
              <c:showBubbleSize val="0"/>
            </c:dLbl>
            <c:dLbl>
              <c:idx val="3"/>
              <c:spPr/>
              <c:txPr>
                <a:bodyPr/>
                <a:lstStyle/>
                <a:p>
                  <a:pPr>
                    <a:defRPr sz="1100" b="1"/>
                  </a:pPr>
                  <a:endParaRPr lang="en-US"/>
                </a:p>
              </c:txPr>
              <c:showLegendKey val="0"/>
              <c:showVal val="1"/>
              <c:showCatName val="0"/>
              <c:showSerName val="0"/>
              <c:showPercent val="0"/>
              <c:showBubbleSize val="0"/>
            </c:dLbl>
            <c:dLbl>
              <c:idx val="4"/>
              <c:spPr/>
              <c:txPr>
                <a:bodyPr/>
                <a:lstStyle/>
                <a:p>
                  <a:pPr>
                    <a:defRPr sz="1100" b="1"/>
                  </a:pPr>
                  <a:endParaRPr lang="en-US"/>
                </a:p>
              </c:txPr>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charts!$B$720:$F$720</c:f>
              <c:strCache>
                <c:ptCount val="5"/>
                <c:pt idx="0">
                  <c:v>All employers (1515)</c:v>
                </c:pt>
                <c:pt idx="1">
                  <c:v>2-9 employees (1018)</c:v>
                </c:pt>
                <c:pt idx="2">
                  <c:v>10-24 employees (307)</c:v>
                </c:pt>
                <c:pt idx="3">
                  <c:v>25-99 employees (151)</c:v>
                </c:pt>
                <c:pt idx="4">
                  <c:v>100+ employees (39)</c:v>
                </c:pt>
              </c:strCache>
            </c:strRef>
          </c:cat>
          <c:val>
            <c:numRef>
              <c:f>charts!$B$723:$F$723</c:f>
              <c:numCache>
                <c:formatCode>0%</c:formatCode>
                <c:ptCount val="5"/>
                <c:pt idx="0">
                  <c:v>0.64000000000000101</c:v>
                </c:pt>
                <c:pt idx="1">
                  <c:v>0.54</c:v>
                </c:pt>
                <c:pt idx="2">
                  <c:v>0.89</c:v>
                </c:pt>
                <c:pt idx="3">
                  <c:v>0.97000000000000064</c:v>
                </c:pt>
                <c:pt idx="4">
                  <c:v>0.98</c:v>
                </c:pt>
              </c:numCache>
            </c:numRef>
          </c:val>
        </c:ser>
        <c:dLbls>
          <c:showLegendKey val="0"/>
          <c:showVal val="1"/>
          <c:showCatName val="0"/>
          <c:showSerName val="0"/>
          <c:showPercent val="0"/>
          <c:showBubbleSize val="0"/>
        </c:dLbls>
        <c:gapWidth val="40"/>
        <c:overlap val="-1"/>
        <c:axId val="99531776"/>
        <c:axId val="99558144"/>
      </c:barChart>
      <c:catAx>
        <c:axId val="99531776"/>
        <c:scaling>
          <c:orientation val="maxMin"/>
        </c:scaling>
        <c:delete val="0"/>
        <c:axPos val="l"/>
        <c:majorTickMark val="none"/>
        <c:minorTickMark val="none"/>
        <c:tickLblPos val="nextTo"/>
        <c:txPr>
          <a:bodyPr/>
          <a:lstStyle/>
          <a:p>
            <a:pPr>
              <a:defRPr sz="1100"/>
            </a:pPr>
            <a:endParaRPr lang="en-US"/>
          </a:p>
        </c:txPr>
        <c:crossAx val="99558144"/>
        <c:crosses val="autoZero"/>
        <c:auto val="1"/>
        <c:lblAlgn val="ctr"/>
        <c:lblOffset val="100"/>
        <c:noMultiLvlLbl val="0"/>
      </c:catAx>
      <c:valAx>
        <c:axId val="99558144"/>
        <c:scaling>
          <c:orientation val="minMax"/>
        </c:scaling>
        <c:delete val="1"/>
        <c:axPos val="b"/>
        <c:numFmt formatCode="0%" sourceLinked="1"/>
        <c:majorTickMark val="out"/>
        <c:minorTickMark val="none"/>
        <c:tickLblPos val="none"/>
        <c:crossAx val="99531776"/>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charts!$A$739:$A$746</c:f>
              <c:strCache>
                <c:ptCount val="8"/>
                <c:pt idx="0">
                  <c:v>Sector specific training provider</c:v>
                </c:pt>
                <c:pt idx="1">
                  <c:v>Other private sector training provider</c:v>
                </c:pt>
                <c:pt idx="2">
                  <c:v>Other public sector training provider</c:v>
                </c:pt>
                <c:pt idx="3">
                  <c:v>Local further education college</c:v>
                </c:pt>
                <c:pt idx="4">
                  <c:v>Local university</c:v>
                </c:pt>
                <c:pt idx="5">
                  <c:v>University outside of Greater Lincolnshire</c:v>
                </c:pt>
                <c:pt idx="6">
                  <c:v>Out of county further education college</c:v>
                </c:pt>
                <c:pt idx="7">
                  <c:v>None - all training is provided in house</c:v>
                </c:pt>
              </c:strCache>
            </c:strRef>
          </c:cat>
          <c:val>
            <c:numRef>
              <c:f>charts!$B$739:$B$746</c:f>
              <c:numCache>
                <c:formatCode>0%</c:formatCode>
                <c:ptCount val="8"/>
                <c:pt idx="0">
                  <c:v>0.47000000000000008</c:v>
                </c:pt>
                <c:pt idx="1">
                  <c:v>0.46</c:v>
                </c:pt>
                <c:pt idx="2">
                  <c:v>0.32000000000000051</c:v>
                </c:pt>
                <c:pt idx="3">
                  <c:v>0.25</c:v>
                </c:pt>
                <c:pt idx="4">
                  <c:v>0.1</c:v>
                </c:pt>
                <c:pt idx="5">
                  <c:v>0.1</c:v>
                </c:pt>
                <c:pt idx="6">
                  <c:v>9.0000000000000024E-2</c:v>
                </c:pt>
                <c:pt idx="7">
                  <c:v>0.22</c:v>
                </c:pt>
              </c:numCache>
            </c:numRef>
          </c:val>
        </c:ser>
        <c:dLbls>
          <c:showLegendKey val="0"/>
          <c:showVal val="1"/>
          <c:showCatName val="0"/>
          <c:showSerName val="0"/>
          <c:showPercent val="0"/>
          <c:showBubbleSize val="0"/>
        </c:dLbls>
        <c:gapWidth val="40"/>
        <c:axId val="99570432"/>
        <c:axId val="99571968"/>
      </c:barChart>
      <c:catAx>
        <c:axId val="99570432"/>
        <c:scaling>
          <c:orientation val="maxMin"/>
        </c:scaling>
        <c:delete val="0"/>
        <c:axPos val="l"/>
        <c:majorTickMark val="none"/>
        <c:minorTickMark val="none"/>
        <c:tickLblPos val="low"/>
        <c:txPr>
          <a:bodyPr/>
          <a:lstStyle/>
          <a:p>
            <a:pPr>
              <a:defRPr sz="1050"/>
            </a:pPr>
            <a:endParaRPr lang="en-US"/>
          </a:p>
        </c:txPr>
        <c:crossAx val="99571968"/>
        <c:crosses val="autoZero"/>
        <c:auto val="1"/>
        <c:lblAlgn val="ctr"/>
        <c:lblOffset val="100"/>
        <c:noMultiLvlLbl val="0"/>
      </c:catAx>
      <c:valAx>
        <c:axId val="99571968"/>
        <c:scaling>
          <c:orientation val="minMax"/>
        </c:scaling>
        <c:delete val="1"/>
        <c:axPos val="b"/>
        <c:numFmt formatCode="0%" sourceLinked="1"/>
        <c:majorTickMark val="none"/>
        <c:minorTickMark val="none"/>
        <c:tickLblPos val="none"/>
        <c:crossAx val="99570432"/>
        <c:crosses val="max"/>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565774962168822"/>
          <c:y val="0.13992606415527559"/>
          <c:w val="0.61407174762297512"/>
          <c:h val="0.82672391384602961"/>
        </c:manualLayout>
      </c:layout>
      <c:barChart>
        <c:barDir val="bar"/>
        <c:grouping val="clustered"/>
        <c:varyColors val="0"/>
        <c:ser>
          <c:idx val="0"/>
          <c:order val="0"/>
          <c:tx>
            <c:strRef>
              <c:f>charts!$B$756</c:f>
              <c:strCache>
                <c:ptCount val="1"/>
                <c:pt idx="0">
                  <c:v>Funded/arranged any training in the last 12 months (1037)</c:v>
                </c:pt>
              </c:strCache>
            </c:strRef>
          </c:tx>
          <c:invertIfNegative val="0"/>
          <c:dLbls>
            <c:dLbl>
              <c:idx val="0"/>
              <c:spPr/>
              <c:txPr>
                <a:bodyPr/>
                <a:lstStyle/>
                <a:p>
                  <a:pPr>
                    <a:defRPr sz="1050" b="1"/>
                  </a:pPr>
                  <a:endParaRPr lang="en-US"/>
                </a:p>
              </c:txPr>
              <c:showLegendKey val="0"/>
              <c:showVal val="1"/>
              <c:showCatName val="0"/>
              <c:showSerName val="0"/>
              <c:showPercent val="0"/>
              <c:showBubbleSize val="0"/>
            </c:dLbl>
            <c:dLbl>
              <c:idx val="1"/>
              <c:spPr/>
              <c:txPr>
                <a:bodyPr/>
                <a:lstStyle/>
                <a:p>
                  <a:pPr>
                    <a:defRPr sz="1050" b="1"/>
                  </a:pPr>
                  <a:endParaRPr lang="en-US"/>
                </a:p>
              </c:txPr>
              <c:showLegendKey val="0"/>
              <c:showVal val="1"/>
              <c:showCatName val="0"/>
              <c:showSerName val="0"/>
              <c:showPercent val="0"/>
              <c:showBubbleSize val="0"/>
            </c:dLbl>
            <c:dLbl>
              <c:idx val="2"/>
              <c:spPr/>
              <c:txPr>
                <a:bodyPr/>
                <a:lstStyle/>
                <a:p>
                  <a:pPr>
                    <a:defRPr sz="1050" b="1"/>
                  </a:pPr>
                  <a:endParaRPr lang="en-US"/>
                </a:p>
              </c:txPr>
              <c:showLegendKey val="0"/>
              <c:showVal val="1"/>
              <c:showCatName val="0"/>
              <c:showSerName val="0"/>
              <c:showPercent val="0"/>
              <c:showBubbleSize val="0"/>
            </c:dLbl>
            <c:dLbl>
              <c:idx val="3"/>
              <c:spPr/>
              <c:txPr>
                <a:bodyPr/>
                <a:lstStyle/>
                <a:p>
                  <a:pPr>
                    <a:defRPr sz="1050" b="1"/>
                  </a:pPr>
                  <a:endParaRPr lang="en-US"/>
                </a:p>
              </c:txPr>
              <c:showLegendKey val="0"/>
              <c:showVal val="1"/>
              <c:showCatName val="0"/>
              <c:showSerName val="0"/>
              <c:showPercent val="0"/>
              <c:showBubbleSize val="0"/>
            </c:dLbl>
            <c:dLbl>
              <c:idx val="4"/>
              <c:spPr/>
              <c:txPr>
                <a:bodyPr/>
                <a:lstStyle/>
                <a:p>
                  <a:pPr>
                    <a:defRPr sz="1050" b="1"/>
                  </a:pPr>
                  <a:endParaRPr lang="en-US"/>
                </a:p>
              </c:txPr>
              <c:showLegendKey val="0"/>
              <c:showVal val="1"/>
              <c:showCatName val="0"/>
              <c:showSerName val="0"/>
              <c:showPercent val="0"/>
              <c:showBubbleSize val="0"/>
            </c:dLbl>
            <c:dLbl>
              <c:idx val="5"/>
              <c:spPr/>
              <c:txPr>
                <a:bodyPr/>
                <a:lstStyle/>
                <a:p>
                  <a:pPr>
                    <a:defRPr sz="1050" b="1"/>
                  </a:pPr>
                  <a:endParaRPr lang="en-US"/>
                </a:p>
              </c:txPr>
              <c:showLegendKey val="0"/>
              <c:showVal val="1"/>
              <c:showCatName val="0"/>
              <c:showSerName val="0"/>
              <c:showPercent val="0"/>
              <c:showBubbleSize val="0"/>
            </c:dLbl>
            <c:dLbl>
              <c:idx val="6"/>
              <c:spPr/>
              <c:txPr>
                <a:bodyPr/>
                <a:lstStyle/>
                <a:p>
                  <a:pPr>
                    <a:defRPr sz="1050" b="1"/>
                  </a:pPr>
                  <a:endParaRPr lang="en-US"/>
                </a:p>
              </c:txPr>
              <c:showLegendKey val="0"/>
              <c:showVal val="1"/>
              <c:showCatName val="0"/>
              <c:showSerName val="0"/>
              <c:showPercent val="0"/>
              <c:showBubbleSize val="0"/>
            </c:dLbl>
            <c:dLbl>
              <c:idx val="8"/>
              <c:spPr/>
              <c:txPr>
                <a:bodyPr/>
                <a:lstStyle/>
                <a:p>
                  <a:pPr>
                    <a:defRPr sz="1050" b="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charts!$A$757:$A$766</c:f>
              <c:strCache>
                <c:ptCount val="10"/>
                <c:pt idx="0">
                  <c:v>Capacity of business to release employees for training</c:v>
                </c:pt>
                <c:pt idx="1">
                  <c:v>Cost of training courses</c:v>
                </c:pt>
                <c:pt idx="2">
                  <c:v>Availability training provision locally</c:v>
                </c:pt>
                <c:pt idx="3">
                  <c:v>Capacity of business to manage training for staff </c:v>
                </c:pt>
                <c:pt idx="4">
                  <c:v>Accessibility</c:v>
                </c:pt>
                <c:pt idx="5">
                  <c:v>Content of training courses</c:v>
                </c:pt>
                <c:pt idx="6">
                  <c:v>Flexibility of provision</c:v>
                </c:pt>
                <c:pt idx="7">
                  <c:v>Capacity of business to undertake training in house</c:v>
                </c:pt>
                <c:pt idx="8">
                  <c:v>Quality of teaching</c:v>
                </c:pt>
                <c:pt idx="9">
                  <c:v>No difficulty finding suitable training</c:v>
                </c:pt>
              </c:strCache>
            </c:strRef>
          </c:cat>
          <c:val>
            <c:numRef>
              <c:f>charts!$B$757:$B$766</c:f>
              <c:numCache>
                <c:formatCode>0%</c:formatCode>
                <c:ptCount val="10"/>
                <c:pt idx="0">
                  <c:v>0.21000000000000019</c:v>
                </c:pt>
                <c:pt idx="1">
                  <c:v>0.18000000000000019</c:v>
                </c:pt>
                <c:pt idx="2">
                  <c:v>0.17</c:v>
                </c:pt>
                <c:pt idx="3">
                  <c:v>0.12000000000000002</c:v>
                </c:pt>
                <c:pt idx="4">
                  <c:v>0.1</c:v>
                </c:pt>
                <c:pt idx="5">
                  <c:v>9.0000000000000024E-2</c:v>
                </c:pt>
                <c:pt idx="6">
                  <c:v>9.0000000000000024E-2</c:v>
                </c:pt>
                <c:pt idx="7">
                  <c:v>8.0000000000000043E-2</c:v>
                </c:pt>
                <c:pt idx="8">
                  <c:v>6.0000000000000032E-2</c:v>
                </c:pt>
                <c:pt idx="9">
                  <c:v>0.56000000000000005</c:v>
                </c:pt>
              </c:numCache>
            </c:numRef>
          </c:val>
        </c:ser>
        <c:ser>
          <c:idx val="1"/>
          <c:order val="1"/>
          <c:tx>
            <c:strRef>
              <c:f>charts!$C$756</c:f>
              <c:strCache>
                <c:ptCount val="1"/>
                <c:pt idx="0">
                  <c:v>No Training in the last 12 months (478)</c:v>
                </c:pt>
              </c:strCache>
            </c:strRef>
          </c:tx>
          <c:invertIfNegative val="0"/>
          <c:dLbls>
            <c:dLbl>
              <c:idx val="0"/>
              <c:spPr/>
              <c:txPr>
                <a:bodyPr/>
                <a:lstStyle/>
                <a:p>
                  <a:pPr>
                    <a:defRPr sz="1050" i="1"/>
                  </a:pPr>
                  <a:endParaRPr lang="en-US"/>
                </a:p>
              </c:txPr>
              <c:showLegendKey val="0"/>
              <c:showVal val="1"/>
              <c:showCatName val="0"/>
              <c:showSerName val="0"/>
              <c:showPercent val="0"/>
              <c:showBubbleSize val="0"/>
            </c:dLbl>
            <c:dLbl>
              <c:idx val="1"/>
              <c:spPr/>
              <c:txPr>
                <a:bodyPr/>
                <a:lstStyle/>
                <a:p>
                  <a:pPr>
                    <a:defRPr sz="1050" i="1"/>
                  </a:pPr>
                  <a:endParaRPr lang="en-US"/>
                </a:p>
              </c:txPr>
              <c:showLegendKey val="0"/>
              <c:showVal val="1"/>
              <c:showCatName val="0"/>
              <c:showSerName val="0"/>
              <c:showPercent val="0"/>
              <c:showBubbleSize val="0"/>
            </c:dLbl>
            <c:dLbl>
              <c:idx val="2"/>
              <c:spPr/>
              <c:txPr>
                <a:bodyPr/>
                <a:lstStyle/>
                <a:p>
                  <a:pPr>
                    <a:defRPr sz="1050" i="1"/>
                  </a:pPr>
                  <a:endParaRPr lang="en-US"/>
                </a:p>
              </c:txPr>
              <c:showLegendKey val="0"/>
              <c:showVal val="1"/>
              <c:showCatName val="0"/>
              <c:showSerName val="0"/>
              <c:showPercent val="0"/>
              <c:showBubbleSize val="0"/>
            </c:dLbl>
            <c:dLbl>
              <c:idx val="6"/>
              <c:spPr/>
              <c:txPr>
                <a:bodyPr/>
                <a:lstStyle/>
                <a:p>
                  <a:pPr>
                    <a:defRPr sz="1050" i="1"/>
                  </a:pPr>
                  <a:endParaRPr lang="en-US"/>
                </a:p>
              </c:txPr>
              <c:showLegendKey val="0"/>
              <c:showVal val="1"/>
              <c:showCatName val="0"/>
              <c:showSerName val="0"/>
              <c:showPercent val="0"/>
              <c:showBubbleSize val="0"/>
            </c:dLbl>
            <c:dLbl>
              <c:idx val="8"/>
              <c:spPr/>
              <c:txPr>
                <a:bodyPr/>
                <a:lstStyle/>
                <a:p>
                  <a:pPr>
                    <a:defRPr sz="1050" i="1"/>
                  </a:pPr>
                  <a:endParaRPr lang="en-US"/>
                </a:p>
              </c:txPr>
              <c:showLegendKey val="0"/>
              <c:showVal val="1"/>
              <c:showCatName val="0"/>
              <c:showSerName val="0"/>
              <c:showPercent val="0"/>
              <c:showBubbleSize val="0"/>
            </c:dLbl>
            <c:txPr>
              <a:bodyPr/>
              <a:lstStyle/>
              <a:p>
                <a:pPr>
                  <a:defRPr sz="1050"/>
                </a:pPr>
                <a:endParaRPr lang="en-US"/>
              </a:p>
            </c:txPr>
            <c:showLegendKey val="0"/>
            <c:showVal val="1"/>
            <c:showCatName val="0"/>
            <c:showSerName val="0"/>
            <c:showPercent val="0"/>
            <c:showBubbleSize val="0"/>
            <c:showLeaderLines val="0"/>
          </c:dLbls>
          <c:cat>
            <c:strRef>
              <c:f>charts!$A$757:$A$766</c:f>
              <c:strCache>
                <c:ptCount val="10"/>
                <c:pt idx="0">
                  <c:v>Capacity of business to release employees for training</c:v>
                </c:pt>
                <c:pt idx="1">
                  <c:v>Cost of training courses</c:v>
                </c:pt>
                <c:pt idx="2">
                  <c:v>Availability training provision locally</c:v>
                </c:pt>
                <c:pt idx="3">
                  <c:v>Capacity of business to manage training for staff </c:v>
                </c:pt>
                <c:pt idx="4">
                  <c:v>Accessibility</c:v>
                </c:pt>
                <c:pt idx="5">
                  <c:v>Content of training courses</c:v>
                </c:pt>
                <c:pt idx="6">
                  <c:v>Flexibility of provision</c:v>
                </c:pt>
                <c:pt idx="7">
                  <c:v>Capacity of business to undertake training in house</c:v>
                </c:pt>
                <c:pt idx="8">
                  <c:v>Quality of teaching</c:v>
                </c:pt>
                <c:pt idx="9">
                  <c:v>No difficulty finding suitable training</c:v>
                </c:pt>
              </c:strCache>
            </c:strRef>
          </c:cat>
          <c:val>
            <c:numRef>
              <c:f>charts!$C$757:$C$766</c:f>
              <c:numCache>
                <c:formatCode>0%</c:formatCode>
                <c:ptCount val="10"/>
                <c:pt idx="0">
                  <c:v>0.11</c:v>
                </c:pt>
                <c:pt idx="1">
                  <c:v>9.0000000000000024E-2</c:v>
                </c:pt>
                <c:pt idx="2">
                  <c:v>0.1</c:v>
                </c:pt>
                <c:pt idx="3">
                  <c:v>8.0000000000000043E-2</c:v>
                </c:pt>
                <c:pt idx="4">
                  <c:v>7.0000000000000021E-2</c:v>
                </c:pt>
                <c:pt idx="5">
                  <c:v>6.0000000000000032E-2</c:v>
                </c:pt>
                <c:pt idx="6">
                  <c:v>3.0000000000000002E-2</c:v>
                </c:pt>
                <c:pt idx="7">
                  <c:v>8.0000000000000043E-2</c:v>
                </c:pt>
                <c:pt idx="8">
                  <c:v>1.0000000000000005E-2</c:v>
                </c:pt>
                <c:pt idx="9">
                  <c:v>0.51</c:v>
                </c:pt>
              </c:numCache>
            </c:numRef>
          </c:val>
        </c:ser>
        <c:dLbls>
          <c:showLegendKey val="0"/>
          <c:showVal val="1"/>
          <c:showCatName val="0"/>
          <c:showSerName val="0"/>
          <c:showPercent val="0"/>
          <c:showBubbleSize val="0"/>
        </c:dLbls>
        <c:gapWidth val="40"/>
        <c:overlap val="-1"/>
        <c:axId val="99353344"/>
        <c:axId val="99354880"/>
      </c:barChart>
      <c:catAx>
        <c:axId val="99353344"/>
        <c:scaling>
          <c:orientation val="maxMin"/>
        </c:scaling>
        <c:delete val="0"/>
        <c:axPos val="l"/>
        <c:majorTickMark val="none"/>
        <c:minorTickMark val="none"/>
        <c:tickLblPos val="nextTo"/>
        <c:txPr>
          <a:bodyPr/>
          <a:lstStyle/>
          <a:p>
            <a:pPr>
              <a:defRPr sz="1050"/>
            </a:pPr>
            <a:endParaRPr lang="en-US"/>
          </a:p>
        </c:txPr>
        <c:crossAx val="99354880"/>
        <c:crosses val="autoZero"/>
        <c:auto val="1"/>
        <c:lblAlgn val="ctr"/>
        <c:lblOffset val="100"/>
        <c:noMultiLvlLbl val="0"/>
      </c:catAx>
      <c:valAx>
        <c:axId val="99354880"/>
        <c:scaling>
          <c:orientation val="minMax"/>
        </c:scaling>
        <c:delete val="1"/>
        <c:axPos val="b"/>
        <c:numFmt formatCode="0%" sourceLinked="1"/>
        <c:majorTickMark val="out"/>
        <c:minorTickMark val="none"/>
        <c:tickLblPos val="none"/>
        <c:crossAx val="99353344"/>
        <c:crosses val="max"/>
        <c:crossBetween val="between"/>
      </c:valAx>
    </c:plotArea>
    <c:legend>
      <c:legendPos val="t"/>
      <c:layout>
        <c:manualLayout>
          <c:xMode val="edge"/>
          <c:yMode val="edge"/>
          <c:x val="0.12435661340378062"/>
          <c:y val="0"/>
          <c:w val="0.69048312771978426"/>
          <c:h val="0.10437111546027852"/>
        </c:manualLayout>
      </c:layou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charts!$B$777:$O$777</c:f>
              <c:strCache>
                <c:ptCount val="14"/>
                <c:pt idx="0">
                  <c:v>All employers (1515)</c:v>
                </c:pt>
                <c:pt idx="1">
                  <c:v>2-9 employees (1018)</c:v>
                </c:pt>
                <c:pt idx="2">
                  <c:v>10-24 employees (307)</c:v>
                </c:pt>
                <c:pt idx="3">
                  <c:v>25-99 employees (151)</c:v>
                </c:pt>
                <c:pt idx="4">
                  <c:v>100+ employees (39)</c:v>
                </c:pt>
                <c:pt idx="5">
                  <c:v>Agriculture/fishing (75)</c:v>
                </c:pt>
                <c:pt idx="6">
                  <c:v>Energy/water* (18)</c:v>
                </c:pt>
                <c:pt idx="7">
                  <c:v>Banking/Finance/ Insurance (325)</c:v>
                </c:pt>
                <c:pt idx="8">
                  <c:v>Manufacturing (89)</c:v>
                </c:pt>
                <c:pt idx="9">
                  <c:v>Construction (133)</c:v>
                </c:pt>
                <c:pt idx="10">
                  <c:v>Distribution/hotels/restaurants (461)</c:v>
                </c:pt>
                <c:pt idx="11">
                  <c:v>Transport/communications (95)</c:v>
                </c:pt>
                <c:pt idx="12">
                  <c:v>Other Services (88)</c:v>
                </c:pt>
                <c:pt idx="13">
                  <c:v>Public administration/education/health (231)</c:v>
                </c:pt>
              </c:strCache>
            </c:strRef>
          </c:cat>
          <c:val>
            <c:numRef>
              <c:f>charts!$B$778:$O$778</c:f>
              <c:numCache>
                <c:formatCode>0%</c:formatCode>
                <c:ptCount val="14"/>
                <c:pt idx="0">
                  <c:v>0.33000000000000035</c:v>
                </c:pt>
                <c:pt idx="1">
                  <c:v>0.30000000000000021</c:v>
                </c:pt>
                <c:pt idx="2">
                  <c:v>0.37000000000000022</c:v>
                </c:pt>
                <c:pt idx="3">
                  <c:v>0.5</c:v>
                </c:pt>
                <c:pt idx="4">
                  <c:v>0.65000000000000058</c:v>
                </c:pt>
                <c:pt idx="5">
                  <c:v>0.31000000000000022</c:v>
                </c:pt>
                <c:pt idx="6">
                  <c:v>0.4</c:v>
                </c:pt>
                <c:pt idx="7">
                  <c:v>0.2400000000000001</c:v>
                </c:pt>
                <c:pt idx="8">
                  <c:v>0.31000000000000022</c:v>
                </c:pt>
                <c:pt idx="9">
                  <c:v>0.30000000000000021</c:v>
                </c:pt>
                <c:pt idx="10">
                  <c:v>0.39000000000000024</c:v>
                </c:pt>
                <c:pt idx="11">
                  <c:v>0.32000000000000023</c:v>
                </c:pt>
                <c:pt idx="12">
                  <c:v>0.33000000000000035</c:v>
                </c:pt>
                <c:pt idx="13">
                  <c:v>0.31000000000000022</c:v>
                </c:pt>
              </c:numCache>
            </c:numRef>
          </c:val>
        </c:ser>
        <c:dLbls>
          <c:showLegendKey val="0"/>
          <c:showVal val="1"/>
          <c:showCatName val="0"/>
          <c:showSerName val="0"/>
          <c:showPercent val="0"/>
          <c:showBubbleSize val="0"/>
        </c:dLbls>
        <c:gapWidth val="40"/>
        <c:axId val="99363072"/>
        <c:axId val="99381248"/>
      </c:barChart>
      <c:catAx>
        <c:axId val="99363072"/>
        <c:scaling>
          <c:orientation val="maxMin"/>
        </c:scaling>
        <c:delete val="0"/>
        <c:axPos val="l"/>
        <c:majorTickMark val="none"/>
        <c:minorTickMark val="none"/>
        <c:tickLblPos val="low"/>
        <c:txPr>
          <a:bodyPr/>
          <a:lstStyle/>
          <a:p>
            <a:pPr>
              <a:defRPr sz="1050"/>
            </a:pPr>
            <a:endParaRPr lang="en-US"/>
          </a:p>
        </c:txPr>
        <c:crossAx val="99381248"/>
        <c:crosses val="autoZero"/>
        <c:auto val="1"/>
        <c:lblAlgn val="ctr"/>
        <c:lblOffset val="100"/>
        <c:noMultiLvlLbl val="0"/>
      </c:catAx>
      <c:valAx>
        <c:axId val="99381248"/>
        <c:scaling>
          <c:orientation val="minMax"/>
        </c:scaling>
        <c:delete val="1"/>
        <c:axPos val="b"/>
        <c:numFmt formatCode="0%" sourceLinked="1"/>
        <c:majorTickMark val="none"/>
        <c:minorTickMark val="none"/>
        <c:tickLblPos val="none"/>
        <c:crossAx val="99363072"/>
        <c:crosses val="max"/>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charts!$A$787:$A$792</c:f>
              <c:strCache>
                <c:ptCount val="6"/>
                <c:pt idx="0">
                  <c:v>Lighting</c:v>
                </c:pt>
                <c:pt idx="1">
                  <c:v>Recycling or waste reduction measures</c:v>
                </c:pt>
                <c:pt idx="2">
                  <c:v>Heating</c:v>
                </c:pt>
                <c:pt idx="3">
                  <c:v>Energy efficient equipment e.g. A*</c:v>
                </c:pt>
                <c:pt idx="4">
                  <c:v>Insulation</c:v>
                </c:pt>
                <c:pt idx="5">
                  <c:v>Water conservation</c:v>
                </c:pt>
              </c:strCache>
            </c:strRef>
          </c:cat>
          <c:val>
            <c:numRef>
              <c:f>charts!$B$787:$B$792</c:f>
              <c:numCache>
                <c:formatCode>0%</c:formatCode>
                <c:ptCount val="6"/>
                <c:pt idx="0">
                  <c:v>0.82000000000000062</c:v>
                </c:pt>
                <c:pt idx="1">
                  <c:v>0.65000000000000102</c:v>
                </c:pt>
                <c:pt idx="2">
                  <c:v>0.5</c:v>
                </c:pt>
                <c:pt idx="3">
                  <c:v>0.49000000000000032</c:v>
                </c:pt>
                <c:pt idx="4">
                  <c:v>0.31000000000000039</c:v>
                </c:pt>
                <c:pt idx="5">
                  <c:v>0.29000000000000031</c:v>
                </c:pt>
              </c:numCache>
            </c:numRef>
          </c:val>
        </c:ser>
        <c:dLbls>
          <c:showLegendKey val="0"/>
          <c:showVal val="1"/>
          <c:showCatName val="0"/>
          <c:showSerName val="0"/>
          <c:showPercent val="0"/>
          <c:showBubbleSize val="0"/>
        </c:dLbls>
        <c:gapWidth val="40"/>
        <c:axId val="99388800"/>
        <c:axId val="99402880"/>
      </c:barChart>
      <c:catAx>
        <c:axId val="99388800"/>
        <c:scaling>
          <c:orientation val="maxMin"/>
        </c:scaling>
        <c:delete val="0"/>
        <c:axPos val="l"/>
        <c:majorTickMark val="none"/>
        <c:minorTickMark val="none"/>
        <c:tickLblPos val="low"/>
        <c:txPr>
          <a:bodyPr/>
          <a:lstStyle/>
          <a:p>
            <a:pPr>
              <a:defRPr sz="1050"/>
            </a:pPr>
            <a:endParaRPr lang="en-US"/>
          </a:p>
        </c:txPr>
        <c:crossAx val="99402880"/>
        <c:crosses val="autoZero"/>
        <c:auto val="1"/>
        <c:lblAlgn val="ctr"/>
        <c:lblOffset val="100"/>
        <c:noMultiLvlLbl val="0"/>
      </c:catAx>
      <c:valAx>
        <c:axId val="99402880"/>
        <c:scaling>
          <c:orientation val="minMax"/>
        </c:scaling>
        <c:delete val="1"/>
        <c:axPos val="b"/>
        <c:numFmt formatCode="0%" sourceLinked="1"/>
        <c:majorTickMark val="none"/>
        <c:minorTickMark val="none"/>
        <c:tickLblPos val="none"/>
        <c:crossAx val="99388800"/>
        <c:crosses val="max"/>
        <c:crossBetween val="between"/>
      </c:val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charts!$B$802</c:f>
              <c:strCache>
                <c:ptCount val="1"/>
                <c:pt idx="0">
                  <c:v>Don't know</c:v>
                </c:pt>
              </c:strCache>
            </c:strRef>
          </c:tx>
          <c:invertIfNegative val="0"/>
          <c:dLbls>
            <c:dLbl>
              <c:idx val="1"/>
              <c:layout>
                <c:manualLayout>
                  <c:x val="1.2882447665056375E-2"/>
                  <c:y val="0"/>
                </c:manualLayout>
              </c:layout>
              <c:showLegendKey val="0"/>
              <c:showVal val="1"/>
              <c:showCatName val="0"/>
              <c:showSerName val="0"/>
              <c:showPercent val="0"/>
              <c:showBubbleSize val="0"/>
            </c:dLbl>
            <c:dLbl>
              <c:idx val="2"/>
              <c:layout>
                <c:manualLayout>
                  <c:x val="8.5882984433709019E-3"/>
                  <c:y val="3.4188034188034192E-3"/>
                </c:manualLayout>
              </c:layout>
              <c:showLegendKey val="0"/>
              <c:showVal val="1"/>
              <c:showCatName val="0"/>
              <c:showSerName val="0"/>
              <c:showPercent val="0"/>
              <c:showBubbleSize val="0"/>
            </c:dLbl>
            <c:txPr>
              <a:bodyPr/>
              <a:lstStyle/>
              <a:p>
                <a:pPr>
                  <a:defRPr sz="1050" b="0">
                    <a:solidFill>
                      <a:schemeClr val="bg1"/>
                    </a:solidFill>
                  </a:defRPr>
                </a:pPr>
                <a:endParaRPr lang="en-US"/>
              </a:p>
            </c:txPr>
            <c:showLegendKey val="0"/>
            <c:showVal val="1"/>
            <c:showCatName val="0"/>
            <c:showSerName val="0"/>
            <c:showPercent val="0"/>
            <c:showBubbleSize val="0"/>
            <c:showLeaderLines val="0"/>
          </c:dLbls>
          <c:cat>
            <c:strRef>
              <c:f>charts!$A$803:$A$806</c:f>
              <c:strCache>
                <c:ptCount val="4"/>
                <c:pt idx="0">
                  <c:v>We consider the environmental impact of our buying decisions</c:v>
                </c:pt>
                <c:pt idx="1">
                  <c:v>We actively work to reduce company waste</c:v>
                </c:pt>
                <c:pt idx="2">
                  <c:v>We actively try to improve our energy efficiency</c:v>
                </c:pt>
                <c:pt idx="3">
                  <c:v>We actively try to reduce work-related car emissions</c:v>
                </c:pt>
              </c:strCache>
            </c:strRef>
          </c:cat>
          <c:val>
            <c:numRef>
              <c:f>charts!$B$803:$B$806</c:f>
              <c:numCache>
                <c:formatCode>0%</c:formatCode>
                <c:ptCount val="4"/>
                <c:pt idx="0">
                  <c:v>0.14000000000000001</c:v>
                </c:pt>
                <c:pt idx="1">
                  <c:v>3.0000000000000002E-2</c:v>
                </c:pt>
                <c:pt idx="2">
                  <c:v>4.0000000000000022E-2</c:v>
                </c:pt>
                <c:pt idx="3">
                  <c:v>9.0000000000000024E-2</c:v>
                </c:pt>
              </c:numCache>
            </c:numRef>
          </c:val>
        </c:ser>
        <c:ser>
          <c:idx val="1"/>
          <c:order val="1"/>
          <c:tx>
            <c:strRef>
              <c:f>charts!$C$802</c:f>
              <c:strCache>
                <c:ptCount val="1"/>
                <c:pt idx="0">
                  <c:v>Strongly disagree</c:v>
                </c:pt>
              </c:strCache>
            </c:strRef>
          </c:tx>
          <c:invertIfNegative val="0"/>
          <c:dLbls>
            <c:dLbl>
              <c:idx val="0"/>
              <c:layout>
                <c:manualLayout>
                  <c:x val="4.2941492216854475E-3"/>
                  <c:y val="-2.3931623931623951E-2"/>
                </c:manualLayout>
              </c:layout>
              <c:showLegendKey val="0"/>
              <c:showVal val="1"/>
              <c:showCatName val="0"/>
              <c:showSerName val="0"/>
              <c:showPercent val="0"/>
              <c:showBubbleSize val="0"/>
            </c:dLbl>
            <c:dLbl>
              <c:idx val="1"/>
              <c:layout>
                <c:manualLayout>
                  <c:x val="1.073537305421364E-2"/>
                  <c:y val="-4.1025641025641033E-2"/>
                </c:manualLayout>
              </c:layout>
              <c:showLegendKey val="0"/>
              <c:showVal val="1"/>
              <c:showCatName val="0"/>
              <c:showSerName val="0"/>
              <c:showPercent val="0"/>
              <c:showBubbleSize val="0"/>
            </c:dLbl>
            <c:dLbl>
              <c:idx val="2"/>
              <c:layout>
                <c:manualLayout>
                  <c:x val="1.2882447665056375E-2"/>
                  <c:y val="-2.0512820512820516E-2"/>
                </c:manualLayout>
              </c:layout>
              <c:showLegendKey val="0"/>
              <c:showVal val="1"/>
              <c:showCatName val="0"/>
              <c:showSerName val="0"/>
              <c:showPercent val="0"/>
              <c:showBubbleSize val="0"/>
            </c:dLbl>
            <c:dLbl>
              <c:idx val="3"/>
              <c:layout>
                <c:manualLayout>
                  <c:x val="0"/>
                  <c:y val="4.786324786324795E-2"/>
                </c:manualLayout>
              </c:layout>
              <c:showLegendKey val="0"/>
              <c:showVal val="1"/>
              <c:showCatName val="0"/>
              <c:showSerName val="0"/>
              <c:showPercent val="0"/>
              <c:showBubbleSize val="0"/>
            </c:dLbl>
            <c:txPr>
              <a:bodyPr/>
              <a:lstStyle/>
              <a:p>
                <a:pPr>
                  <a:defRPr sz="1050" b="0">
                    <a:solidFill>
                      <a:schemeClr val="bg1"/>
                    </a:solidFill>
                  </a:defRPr>
                </a:pPr>
                <a:endParaRPr lang="en-US"/>
              </a:p>
            </c:txPr>
            <c:showLegendKey val="0"/>
            <c:showVal val="1"/>
            <c:showCatName val="0"/>
            <c:showSerName val="0"/>
            <c:showPercent val="0"/>
            <c:showBubbleSize val="0"/>
            <c:showLeaderLines val="0"/>
          </c:dLbls>
          <c:cat>
            <c:strRef>
              <c:f>charts!$A$803:$A$806</c:f>
              <c:strCache>
                <c:ptCount val="4"/>
                <c:pt idx="0">
                  <c:v>We consider the environmental impact of our buying decisions</c:v>
                </c:pt>
                <c:pt idx="1">
                  <c:v>We actively work to reduce company waste</c:v>
                </c:pt>
                <c:pt idx="2">
                  <c:v>We actively try to improve our energy efficiency</c:v>
                </c:pt>
                <c:pt idx="3">
                  <c:v>We actively try to reduce work-related car emissions</c:v>
                </c:pt>
              </c:strCache>
            </c:strRef>
          </c:cat>
          <c:val>
            <c:numRef>
              <c:f>charts!$C$803:$C$806</c:f>
              <c:numCache>
                <c:formatCode>0%</c:formatCode>
                <c:ptCount val="4"/>
                <c:pt idx="0">
                  <c:v>3.0000000000000002E-2</c:v>
                </c:pt>
                <c:pt idx="1">
                  <c:v>1.0000000000000005E-2</c:v>
                </c:pt>
                <c:pt idx="2">
                  <c:v>1.0000000000000005E-2</c:v>
                </c:pt>
                <c:pt idx="3">
                  <c:v>3.0000000000000002E-2</c:v>
                </c:pt>
              </c:numCache>
            </c:numRef>
          </c:val>
        </c:ser>
        <c:ser>
          <c:idx val="2"/>
          <c:order val="2"/>
          <c:tx>
            <c:strRef>
              <c:f>charts!$D$802</c:f>
              <c:strCache>
                <c:ptCount val="1"/>
                <c:pt idx="0">
                  <c:v>Disagree</c:v>
                </c:pt>
              </c:strCache>
            </c:strRef>
          </c:tx>
          <c:invertIfNegative val="0"/>
          <c:dLbls>
            <c:dLbl>
              <c:idx val="0"/>
              <c:layout>
                <c:manualLayout>
                  <c:x val="1.9323671497584648E-2"/>
                  <c:y val="3.0769230769230792E-2"/>
                </c:manualLayout>
              </c:layout>
              <c:showLegendKey val="0"/>
              <c:showVal val="1"/>
              <c:showCatName val="0"/>
              <c:showSerName val="0"/>
              <c:showPercent val="0"/>
              <c:showBubbleSize val="0"/>
            </c:dLbl>
            <c:dLbl>
              <c:idx val="1"/>
              <c:layout>
                <c:manualLayout>
                  <c:x val="4.2941492216854475E-3"/>
                  <c:y val="5.128205128205128E-2"/>
                </c:manualLayout>
              </c:layout>
              <c:showLegendKey val="0"/>
              <c:showVal val="1"/>
              <c:showCatName val="0"/>
              <c:showSerName val="0"/>
              <c:showPercent val="0"/>
              <c:showBubbleSize val="0"/>
            </c:dLbl>
            <c:dLbl>
              <c:idx val="2"/>
              <c:layout>
                <c:manualLayout>
                  <c:x val="2.1470746108427302E-3"/>
                  <c:y val="4.1025641025641033E-2"/>
                </c:manualLayout>
              </c:layout>
              <c:showLegendKey val="0"/>
              <c:showVal val="1"/>
              <c:showCatName val="0"/>
              <c:showSerName val="0"/>
              <c:showPercent val="0"/>
              <c:showBubbleSize val="0"/>
            </c:dLbl>
            <c:txPr>
              <a:bodyPr/>
              <a:lstStyle/>
              <a:p>
                <a:pPr>
                  <a:defRPr sz="1050" b="0">
                    <a:solidFill>
                      <a:schemeClr val="bg1"/>
                    </a:solidFill>
                  </a:defRPr>
                </a:pPr>
                <a:endParaRPr lang="en-US"/>
              </a:p>
            </c:txPr>
            <c:showLegendKey val="0"/>
            <c:showVal val="1"/>
            <c:showCatName val="0"/>
            <c:showSerName val="0"/>
            <c:showPercent val="0"/>
            <c:showBubbleSize val="0"/>
            <c:showLeaderLines val="0"/>
          </c:dLbls>
          <c:cat>
            <c:strRef>
              <c:f>charts!$A$803:$A$806</c:f>
              <c:strCache>
                <c:ptCount val="4"/>
                <c:pt idx="0">
                  <c:v>We consider the environmental impact of our buying decisions</c:v>
                </c:pt>
                <c:pt idx="1">
                  <c:v>We actively work to reduce company waste</c:v>
                </c:pt>
                <c:pt idx="2">
                  <c:v>We actively try to improve our energy efficiency</c:v>
                </c:pt>
                <c:pt idx="3">
                  <c:v>We actively try to reduce work-related car emissions</c:v>
                </c:pt>
              </c:strCache>
            </c:strRef>
          </c:cat>
          <c:val>
            <c:numRef>
              <c:f>charts!$D$803:$D$806</c:f>
              <c:numCache>
                <c:formatCode>0%</c:formatCode>
                <c:ptCount val="4"/>
                <c:pt idx="0">
                  <c:v>0.12000000000000002</c:v>
                </c:pt>
                <c:pt idx="1">
                  <c:v>0.05</c:v>
                </c:pt>
                <c:pt idx="2">
                  <c:v>7.0000000000000021E-2</c:v>
                </c:pt>
                <c:pt idx="3">
                  <c:v>0.18000000000000019</c:v>
                </c:pt>
              </c:numCache>
            </c:numRef>
          </c:val>
        </c:ser>
        <c:ser>
          <c:idx val="3"/>
          <c:order val="3"/>
          <c:tx>
            <c:strRef>
              <c:f>charts!$E$802</c:f>
              <c:strCache>
                <c:ptCount val="1"/>
                <c:pt idx="0">
                  <c:v>Agree</c:v>
                </c:pt>
              </c:strCache>
            </c:strRef>
          </c:tx>
          <c:invertIfNegative val="0"/>
          <c:dLbls>
            <c:txPr>
              <a:bodyPr/>
              <a:lstStyle/>
              <a:p>
                <a:pPr>
                  <a:defRPr sz="1100" b="0">
                    <a:solidFill>
                      <a:schemeClr val="bg1"/>
                    </a:solidFill>
                  </a:defRPr>
                </a:pPr>
                <a:endParaRPr lang="en-US"/>
              </a:p>
            </c:txPr>
            <c:showLegendKey val="0"/>
            <c:showVal val="1"/>
            <c:showCatName val="0"/>
            <c:showSerName val="0"/>
            <c:showPercent val="0"/>
            <c:showBubbleSize val="0"/>
            <c:showLeaderLines val="0"/>
          </c:dLbls>
          <c:cat>
            <c:strRef>
              <c:f>charts!$A$803:$A$806</c:f>
              <c:strCache>
                <c:ptCount val="4"/>
                <c:pt idx="0">
                  <c:v>We consider the environmental impact of our buying decisions</c:v>
                </c:pt>
                <c:pt idx="1">
                  <c:v>We actively work to reduce company waste</c:v>
                </c:pt>
                <c:pt idx="2">
                  <c:v>We actively try to improve our energy efficiency</c:v>
                </c:pt>
                <c:pt idx="3">
                  <c:v>We actively try to reduce work-related car emissions</c:v>
                </c:pt>
              </c:strCache>
            </c:strRef>
          </c:cat>
          <c:val>
            <c:numRef>
              <c:f>charts!$E$803:$E$806</c:f>
              <c:numCache>
                <c:formatCode>0%</c:formatCode>
                <c:ptCount val="4"/>
                <c:pt idx="0">
                  <c:v>0.54</c:v>
                </c:pt>
                <c:pt idx="1">
                  <c:v>0.6400000000000009</c:v>
                </c:pt>
                <c:pt idx="2">
                  <c:v>0.6400000000000009</c:v>
                </c:pt>
                <c:pt idx="3">
                  <c:v>0.54</c:v>
                </c:pt>
              </c:numCache>
            </c:numRef>
          </c:val>
        </c:ser>
        <c:ser>
          <c:idx val="4"/>
          <c:order val="4"/>
          <c:tx>
            <c:strRef>
              <c:f>charts!$F$802</c:f>
              <c:strCache>
                <c:ptCount val="1"/>
                <c:pt idx="0">
                  <c:v>Strongly agree</c:v>
                </c:pt>
              </c:strCache>
            </c:strRef>
          </c:tx>
          <c:invertIfNegative val="0"/>
          <c:dLbls>
            <c:txPr>
              <a:bodyPr/>
              <a:lstStyle/>
              <a:p>
                <a:pPr>
                  <a:defRPr sz="1100" b="0">
                    <a:solidFill>
                      <a:schemeClr val="bg1"/>
                    </a:solidFill>
                  </a:defRPr>
                </a:pPr>
                <a:endParaRPr lang="en-US"/>
              </a:p>
            </c:txPr>
            <c:showLegendKey val="0"/>
            <c:showVal val="1"/>
            <c:showCatName val="0"/>
            <c:showSerName val="0"/>
            <c:showPercent val="0"/>
            <c:showBubbleSize val="0"/>
            <c:showLeaderLines val="0"/>
          </c:dLbls>
          <c:cat>
            <c:strRef>
              <c:f>charts!$A$803:$A$806</c:f>
              <c:strCache>
                <c:ptCount val="4"/>
                <c:pt idx="0">
                  <c:v>We consider the environmental impact of our buying decisions</c:v>
                </c:pt>
                <c:pt idx="1">
                  <c:v>We actively work to reduce company waste</c:v>
                </c:pt>
                <c:pt idx="2">
                  <c:v>We actively try to improve our energy efficiency</c:v>
                </c:pt>
                <c:pt idx="3">
                  <c:v>We actively try to reduce work-related car emissions</c:v>
                </c:pt>
              </c:strCache>
            </c:strRef>
          </c:cat>
          <c:val>
            <c:numRef>
              <c:f>charts!$F$803:$F$806</c:f>
              <c:numCache>
                <c:formatCode>0%</c:formatCode>
                <c:ptCount val="4"/>
                <c:pt idx="0">
                  <c:v>0.17</c:v>
                </c:pt>
                <c:pt idx="1">
                  <c:v>0.27</c:v>
                </c:pt>
                <c:pt idx="2">
                  <c:v>0.24000000000000019</c:v>
                </c:pt>
                <c:pt idx="3">
                  <c:v>0.16</c:v>
                </c:pt>
              </c:numCache>
            </c:numRef>
          </c:val>
        </c:ser>
        <c:dLbls>
          <c:showLegendKey val="0"/>
          <c:showVal val="1"/>
          <c:showCatName val="0"/>
          <c:showSerName val="0"/>
          <c:showPercent val="0"/>
          <c:showBubbleSize val="0"/>
        </c:dLbls>
        <c:gapWidth val="40"/>
        <c:overlap val="100"/>
        <c:axId val="99927552"/>
        <c:axId val="99929088"/>
      </c:barChart>
      <c:catAx>
        <c:axId val="99927552"/>
        <c:scaling>
          <c:orientation val="maxMin"/>
        </c:scaling>
        <c:delete val="0"/>
        <c:axPos val="l"/>
        <c:majorTickMark val="none"/>
        <c:minorTickMark val="none"/>
        <c:tickLblPos val="low"/>
        <c:txPr>
          <a:bodyPr/>
          <a:lstStyle/>
          <a:p>
            <a:pPr>
              <a:defRPr sz="1050"/>
            </a:pPr>
            <a:endParaRPr lang="en-US"/>
          </a:p>
        </c:txPr>
        <c:crossAx val="99929088"/>
        <c:crosses val="autoZero"/>
        <c:auto val="1"/>
        <c:lblAlgn val="ctr"/>
        <c:lblOffset val="100"/>
        <c:noMultiLvlLbl val="0"/>
      </c:catAx>
      <c:valAx>
        <c:axId val="99929088"/>
        <c:scaling>
          <c:orientation val="minMax"/>
        </c:scaling>
        <c:delete val="1"/>
        <c:axPos val="b"/>
        <c:numFmt formatCode="0%" sourceLinked="1"/>
        <c:majorTickMark val="none"/>
        <c:minorTickMark val="none"/>
        <c:tickLblPos val="none"/>
        <c:crossAx val="99927552"/>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charts!$B$821</c:f>
              <c:strCache>
                <c:ptCount val="1"/>
                <c:pt idx="0">
                  <c:v>Don't know</c:v>
                </c:pt>
              </c:strCache>
            </c:strRef>
          </c:tx>
          <c:invertIfNegative val="0"/>
          <c:dLbls>
            <c:dLbl>
              <c:idx val="0"/>
              <c:layout>
                <c:manualLayout>
                  <c:x val="1.261829652996844E-2"/>
                  <c:y val="3.39943342776204E-2"/>
                </c:manualLayout>
              </c:layout>
              <c:showLegendKey val="0"/>
              <c:showVal val="1"/>
              <c:showCatName val="0"/>
              <c:showSerName val="0"/>
              <c:showPercent val="0"/>
              <c:showBubbleSize val="0"/>
            </c:dLbl>
            <c:dLbl>
              <c:idx val="1"/>
              <c:layout>
                <c:manualLayout>
                  <c:x val="1.0515247108307046E-2"/>
                  <c:y val="4.1548928197006486E-2"/>
                </c:manualLayout>
              </c:layout>
              <c:showLegendKey val="0"/>
              <c:showVal val="1"/>
              <c:showCatName val="0"/>
              <c:showSerName val="0"/>
              <c:showPercent val="0"/>
              <c:showBubbleSize val="0"/>
            </c:dLbl>
            <c:dLbl>
              <c:idx val="2"/>
              <c:layout>
                <c:manualLayout>
                  <c:x val="1.0515247108307046E-2"/>
                  <c:y val="3.39943342776204E-2"/>
                </c:manualLayout>
              </c:layout>
              <c:showLegendKey val="0"/>
              <c:showVal val="1"/>
              <c:showCatName val="0"/>
              <c:showSerName val="0"/>
              <c:showPercent val="0"/>
              <c:showBubbleSize val="0"/>
            </c:dLbl>
            <c:dLbl>
              <c:idx val="3"/>
              <c:layout>
                <c:manualLayout>
                  <c:x val="1.0515247108307046E-2"/>
                  <c:y val="-1.5108593012275741E-2"/>
                </c:manualLayout>
              </c:layout>
              <c:showLegendKey val="0"/>
              <c:showVal val="1"/>
              <c:showCatName val="0"/>
              <c:showSerName val="0"/>
              <c:showPercent val="0"/>
              <c:showBubbleSize val="0"/>
            </c:dLbl>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charts!$A$822:$A$825</c:f>
              <c:strCache>
                <c:ptCount val="4"/>
                <c:pt idx="0">
                  <c:v>We are concerned about flood risk (620)</c:v>
                </c:pt>
                <c:pt idx="1">
                  <c:v>The issue of flooding is greater now than previously (609)</c:v>
                </c:pt>
                <c:pt idx="2">
                  <c:v>We actively try to reduce the possibility of flooding (587)</c:v>
                </c:pt>
                <c:pt idx="3">
                  <c:v>The risk of flooding is having an impact on our business planning (602)</c:v>
                </c:pt>
              </c:strCache>
            </c:strRef>
          </c:cat>
          <c:val>
            <c:numRef>
              <c:f>charts!$B$822:$B$825</c:f>
              <c:numCache>
                <c:formatCode>0%</c:formatCode>
                <c:ptCount val="4"/>
                <c:pt idx="0">
                  <c:v>2.4271844660194219E-2</c:v>
                </c:pt>
                <c:pt idx="1">
                  <c:v>4.4334975369458129E-2</c:v>
                </c:pt>
                <c:pt idx="2">
                  <c:v>5.8119658119658107E-2</c:v>
                </c:pt>
                <c:pt idx="3">
                  <c:v>3.150912106135989E-2</c:v>
                </c:pt>
              </c:numCache>
            </c:numRef>
          </c:val>
        </c:ser>
        <c:ser>
          <c:idx val="1"/>
          <c:order val="1"/>
          <c:tx>
            <c:strRef>
              <c:f>charts!$C$821</c:f>
              <c:strCache>
                <c:ptCount val="1"/>
                <c:pt idx="0">
                  <c:v>Strongly disagree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charts!$A$822:$A$825</c:f>
              <c:strCache>
                <c:ptCount val="4"/>
                <c:pt idx="0">
                  <c:v>We are concerned about flood risk (620)</c:v>
                </c:pt>
                <c:pt idx="1">
                  <c:v>The issue of flooding is greater now than previously (609)</c:v>
                </c:pt>
                <c:pt idx="2">
                  <c:v>We actively try to reduce the possibility of flooding (587)</c:v>
                </c:pt>
                <c:pt idx="3">
                  <c:v>The risk of flooding is having an impact on our business planning (602)</c:v>
                </c:pt>
              </c:strCache>
            </c:strRef>
          </c:cat>
          <c:val>
            <c:numRef>
              <c:f>charts!$C$822:$C$825</c:f>
              <c:numCache>
                <c:formatCode>0%</c:formatCode>
                <c:ptCount val="4"/>
                <c:pt idx="0">
                  <c:v>0.13915857605177978</c:v>
                </c:pt>
                <c:pt idx="1">
                  <c:v>7.717569786535311E-2</c:v>
                </c:pt>
                <c:pt idx="2">
                  <c:v>8.2051282051282065E-2</c:v>
                </c:pt>
                <c:pt idx="3">
                  <c:v>0.17247097844112771</c:v>
                </c:pt>
              </c:numCache>
            </c:numRef>
          </c:val>
        </c:ser>
        <c:ser>
          <c:idx val="2"/>
          <c:order val="2"/>
          <c:tx>
            <c:strRef>
              <c:f>charts!$D$821</c:f>
              <c:strCache>
                <c:ptCount val="1"/>
                <c:pt idx="0">
                  <c:v>Disagree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charts!$A$822:$A$825</c:f>
              <c:strCache>
                <c:ptCount val="4"/>
                <c:pt idx="0">
                  <c:v>We are concerned about flood risk (620)</c:v>
                </c:pt>
                <c:pt idx="1">
                  <c:v>The issue of flooding is greater now than previously (609)</c:v>
                </c:pt>
                <c:pt idx="2">
                  <c:v>We actively try to reduce the possibility of flooding (587)</c:v>
                </c:pt>
                <c:pt idx="3">
                  <c:v>The risk of flooding is having an impact on our business planning (602)</c:v>
                </c:pt>
              </c:strCache>
            </c:strRef>
          </c:cat>
          <c:val>
            <c:numRef>
              <c:f>charts!$D$822:$D$825</c:f>
              <c:numCache>
                <c:formatCode>0%</c:formatCode>
                <c:ptCount val="4"/>
                <c:pt idx="0">
                  <c:v>0.26860841423948256</c:v>
                </c:pt>
                <c:pt idx="1">
                  <c:v>0.28407224958949134</c:v>
                </c:pt>
                <c:pt idx="2">
                  <c:v>0.37606837606837645</c:v>
                </c:pt>
                <c:pt idx="3">
                  <c:v>0.58706467661691542</c:v>
                </c:pt>
              </c:numCache>
            </c:numRef>
          </c:val>
        </c:ser>
        <c:ser>
          <c:idx val="3"/>
          <c:order val="3"/>
          <c:tx>
            <c:strRef>
              <c:f>charts!$E$821</c:f>
              <c:strCache>
                <c:ptCount val="1"/>
                <c:pt idx="0">
                  <c:v>Agree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charts!$A$822:$A$825</c:f>
              <c:strCache>
                <c:ptCount val="4"/>
                <c:pt idx="0">
                  <c:v>We are concerned about flood risk (620)</c:v>
                </c:pt>
                <c:pt idx="1">
                  <c:v>The issue of flooding is greater now than previously (609)</c:v>
                </c:pt>
                <c:pt idx="2">
                  <c:v>We actively try to reduce the possibility of flooding (587)</c:v>
                </c:pt>
                <c:pt idx="3">
                  <c:v>The risk of flooding is having an impact on our business planning (602)</c:v>
                </c:pt>
              </c:strCache>
            </c:strRef>
          </c:cat>
          <c:val>
            <c:numRef>
              <c:f>charts!$E$822:$E$825</c:f>
              <c:numCache>
                <c:formatCode>0%</c:formatCode>
                <c:ptCount val="4"/>
                <c:pt idx="0">
                  <c:v>0.35922330097087424</c:v>
                </c:pt>
                <c:pt idx="1">
                  <c:v>0.39080459770115011</c:v>
                </c:pt>
                <c:pt idx="2">
                  <c:v>0.36410256410256453</c:v>
                </c:pt>
                <c:pt idx="3">
                  <c:v>0.13266998341625225</c:v>
                </c:pt>
              </c:numCache>
            </c:numRef>
          </c:val>
        </c:ser>
        <c:ser>
          <c:idx val="4"/>
          <c:order val="4"/>
          <c:tx>
            <c:strRef>
              <c:f>charts!$F$821</c:f>
              <c:strCache>
                <c:ptCount val="1"/>
                <c:pt idx="0">
                  <c:v>Strongly agree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charts!$A$822:$A$825</c:f>
              <c:strCache>
                <c:ptCount val="4"/>
                <c:pt idx="0">
                  <c:v>We are concerned about flood risk (620)</c:v>
                </c:pt>
                <c:pt idx="1">
                  <c:v>The issue of flooding is greater now than previously (609)</c:v>
                </c:pt>
                <c:pt idx="2">
                  <c:v>We actively try to reduce the possibility of flooding (587)</c:v>
                </c:pt>
                <c:pt idx="3">
                  <c:v>The risk of flooding is having an impact on our business planning (602)</c:v>
                </c:pt>
              </c:strCache>
            </c:strRef>
          </c:cat>
          <c:val>
            <c:numRef>
              <c:f>charts!$F$822:$F$825</c:f>
              <c:numCache>
                <c:formatCode>0%</c:formatCode>
                <c:ptCount val="4"/>
                <c:pt idx="0">
                  <c:v>0.20711974110032394</c:v>
                </c:pt>
                <c:pt idx="1">
                  <c:v>0.2019704433497537</c:v>
                </c:pt>
                <c:pt idx="2">
                  <c:v>0.12136752136752139</c:v>
                </c:pt>
                <c:pt idx="3">
                  <c:v>7.6285240464344858E-2</c:v>
                </c:pt>
              </c:numCache>
            </c:numRef>
          </c:val>
        </c:ser>
        <c:dLbls>
          <c:showLegendKey val="0"/>
          <c:showVal val="1"/>
          <c:showCatName val="0"/>
          <c:showSerName val="0"/>
          <c:showPercent val="0"/>
          <c:showBubbleSize val="0"/>
        </c:dLbls>
        <c:gapWidth val="40"/>
        <c:overlap val="100"/>
        <c:axId val="99745792"/>
        <c:axId val="99747328"/>
      </c:barChart>
      <c:catAx>
        <c:axId val="99745792"/>
        <c:scaling>
          <c:orientation val="maxMin"/>
        </c:scaling>
        <c:delete val="0"/>
        <c:axPos val="l"/>
        <c:majorTickMark val="none"/>
        <c:minorTickMark val="none"/>
        <c:tickLblPos val="low"/>
        <c:txPr>
          <a:bodyPr/>
          <a:lstStyle/>
          <a:p>
            <a:pPr>
              <a:defRPr sz="1050"/>
            </a:pPr>
            <a:endParaRPr lang="en-US"/>
          </a:p>
        </c:txPr>
        <c:crossAx val="99747328"/>
        <c:crosses val="autoZero"/>
        <c:auto val="1"/>
        <c:lblAlgn val="ctr"/>
        <c:lblOffset val="100"/>
        <c:noMultiLvlLbl val="0"/>
      </c:catAx>
      <c:valAx>
        <c:axId val="99747328"/>
        <c:scaling>
          <c:orientation val="minMax"/>
        </c:scaling>
        <c:delete val="1"/>
        <c:axPos val="b"/>
        <c:numFmt formatCode="0%" sourceLinked="1"/>
        <c:majorTickMark val="none"/>
        <c:minorTickMark val="none"/>
        <c:tickLblPos val="none"/>
        <c:crossAx val="99745792"/>
        <c:crosses val="max"/>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40"/>
      <c:rotY val="201"/>
      <c:rAngAx val="0"/>
      <c:perspective val="30"/>
    </c:view3D>
    <c:floor>
      <c:thickness val="0"/>
    </c:floor>
    <c:sideWall>
      <c:thickness val="0"/>
    </c:sideWall>
    <c:backWall>
      <c:thickness val="0"/>
    </c:backWall>
    <c:plotArea>
      <c:layout>
        <c:manualLayout>
          <c:layoutTarget val="inner"/>
          <c:xMode val="edge"/>
          <c:yMode val="edge"/>
          <c:x val="0.22478613250266818"/>
          <c:y val="3.4819231411102512E-2"/>
          <c:w val="0.54906401392498261"/>
          <c:h val="0.84135181199557874"/>
        </c:manualLayout>
      </c:layout>
      <c:pie3DChart>
        <c:varyColors val="1"/>
        <c:ser>
          <c:idx val="0"/>
          <c:order val="0"/>
          <c:dLbls>
            <c:dLbl>
              <c:idx val="4"/>
              <c:layout>
                <c:manualLayout>
                  <c:x val="1.1111111111111125E-2"/>
                  <c:y val="4.6296296296296406E-3"/>
                </c:manualLayout>
              </c:layout>
              <c:dLblPos val="bestFit"/>
              <c:showLegendKey val="0"/>
              <c:showVal val="0"/>
              <c:showCatName val="1"/>
              <c:showSerName val="0"/>
              <c:showPercent val="1"/>
              <c:showBubbleSize val="0"/>
            </c:dLbl>
            <c:dLbl>
              <c:idx val="5"/>
              <c:layout>
                <c:manualLayout>
                  <c:x val="-0.13055555555555537"/>
                  <c:y val="-0.1064814814814817"/>
                </c:manualLayout>
              </c:layout>
              <c:dLblPos val="bestFit"/>
              <c:showLegendKey val="0"/>
              <c:showVal val="0"/>
              <c:showCatName val="1"/>
              <c:showSerName val="0"/>
              <c:showPercent val="1"/>
              <c:showBubbleSize val="0"/>
            </c:dLbl>
            <c:txPr>
              <a:bodyPr/>
              <a:lstStyle/>
              <a:p>
                <a:pPr>
                  <a:defRPr sz="1050"/>
                </a:pPr>
                <a:endParaRPr lang="en-US"/>
              </a:p>
            </c:txPr>
            <c:dLblPos val="outEnd"/>
            <c:showLegendKey val="0"/>
            <c:showVal val="0"/>
            <c:showCatName val="1"/>
            <c:showSerName val="0"/>
            <c:showPercent val="1"/>
            <c:showBubbleSize val="0"/>
            <c:showLeaderLines val="1"/>
          </c:dLbls>
          <c:cat>
            <c:strRef>
              <c:f>charts!$A$879:$A$884</c:f>
              <c:strCache>
                <c:ptCount val="6"/>
                <c:pt idx="0">
                  <c:v>2-4 employees</c:v>
                </c:pt>
                <c:pt idx="1">
                  <c:v>5-9 employees</c:v>
                </c:pt>
                <c:pt idx="2">
                  <c:v>10-24 employees</c:v>
                </c:pt>
                <c:pt idx="3">
                  <c:v>25-99 employees</c:v>
                </c:pt>
                <c:pt idx="4">
                  <c:v>100-249 employees</c:v>
                </c:pt>
                <c:pt idx="5">
                  <c:v>250+ employees</c:v>
                </c:pt>
              </c:strCache>
            </c:strRef>
          </c:cat>
          <c:val>
            <c:numRef>
              <c:f>charts!$B$879:$B$884</c:f>
              <c:numCache>
                <c:formatCode>0%</c:formatCode>
                <c:ptCount val="6"/>
                <c:pt idx="0">
                  <c:v>0.47000000000000008</c:v>
                </c:pt>
                <c:pt idx="1">
                  <c:v>0.26</c:v>
                </c:pt>
                <c:pt idx="2">
                  <c:v>0.16</c:v>
                </c:pt>
                <c:pt idx="3">
                  <c:v>9.0000000000000024E-2</c:v>
                </c:pt>
                <c:pt idx="4">
                  <c:v>1.0000000000000005E-2</c:v>
                </c:pt>
                <c:pt idx="5">
                  <c:v>1.0000000000000005E-2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charts!$A$56:$A$74</c:f>
              <c:strCache>
                <c:ptCount val="19"/>
                <c:pt idx="0">
                  <c:v>Premises too small</c:v>
                </c:pt>
                <c:pt idx="1">
                  <c:v>Cost of premises too high</c:v>
                </c:pt>
                <c:pt idx="2">
                  <c:v>Gain access to new markets</c:v>
                </c:pt>
                <c:pt idx="3">
                  <c:v>'End of lease'</c:v>
                </c:pt>
                <c:pt idx="4">
                  <c:v>Be closer to existing customers</c:v>
                </c:pt>
                <c:pt idx="5">
                  <c:v>Premises too big</c:v>
                </c:pt>
                <c:pt idx="6">
                  <c:v>Lifestyle choice</c:v>
                </c:pt>
                <c:pt idx="7">
                  <c:v>Would like to own a property</c:v>
                </c:pt>
                <c:pt idx="8">
                  <c:v>Current premises are unsuitable/old/bad state of repair</c:v>
                </c:pt>
                <c:pt idx="9">
                  <c:v>Gain access to skilled and affordable labour</c:v>
                </c:pt>
                <c:pt idx="10">
                  <c:v>More prestigious premises</c:v>
                </c:pt>
                <c:pt idx="11">
                  <c:v>Restructuring the business</c:v>
                </c:pt>
                <c:pt idx="12">
                  <c:v>To be closer to companies in my industry/sector</c:v>
                </c:pt>
                <c:pt idx="13">
                  <c:v>Benefit from better transport links</c:v>
                </c:pt>
                <c:pt idx="14">
                  <c:v>Family reasons</c:v>
                </c:pt>
                <c:pt idx="15">
                  <c:v>Improved availability/cost of finance</c:v>
                </c:pt>
                <c:pt idx="16">
                  <c:v>Current location is unsuitable</c:v>
                </c:pt>
                <c:pt idx="17">
                  <c:v>Business expansion/growth (incl. branching from home to office)</c:v>
                </c:pt>
                <c:pt idx="18">
                  <c:v>Increase profitability (other than cost of premises)</c:v>
                </c:pt>
              </c:strCache>
            </c:strRef>
          </c:cat>
          <c:val>
            <c:numRef>
              <c:f>charts!$B$56:$B$74</c:f>
              <c:numCache>
                <c:formatCode>0%</c:formatCode>
                <c:ptCount val="19"/>
                <c:pt idx="0">
                  <c:v>0.47000000000000008</c:v>
                </c:pt>
                <c:pt idx="1">
                  <c:v>0.11</c:v>
                </c:pt>
                <c:pt idx="2">
                  <c:v>7.0000000000000021E-2</c:v>
                </c:pt>
                <c:pt idx="3">
                  <c:v>7.0000000000000021E-2</c:v>
                </c:pt>
                <c:pt idx="4">
                  <c:v>6.0000000000000032E-2</c:v>
                </c:pt>
                <c:pt idx="5">
                  <c:v>0.05</c:v>
                </c:pt>
                <c:pt idx="6">
                  <c:v>4.0000000000000022E-2</c:v>
                </c:pt>
                <c:pt idx="7">
                  <c:v>4.0000000000000022E-2</c:v>
                </c:pt>
                <c:pt idx="8">
                  <c:v>4.0000000000000022E-2</c:v>
                </c:pt>
                <c:pt idx="9">
                  <c:v>3.0000000000000002E-2</c:v>
                </c:pt>
                <c:pt idx="10">
                  <c:v>3.0000000000000002E-2</c:v>
                </c:pt>
                <c:pt idx="11">
                  <c:v>3.0000000000000002E-2</c:v>
                </c:pt>
                <c:pt idx="12">
                  <c:v>2.0000000000000011E-2</c:v>
                </c:pt>
                <c:pt idx="13">
                  <c:v>2.0000000000000011E-2</c:v>
                </c:pt>
                <c:pt idx="14">
                  <c:v>2.0000000000000011E-2</c:v>
                </c:pt>
                <c:pt idx="15">
                  <c:v>2.0000000000000011E-2</c:v>
                </c:pt>
                <c:pt idx="16">
                  <c:v>2.0000000000000011E-2</c:v>
                </c:pt>
                <c:pt idx="17">
                  <c:v>2.0000000000000011E-2</c:v>
                </c:pt>
                <c:pt idx="18">
                  <c:v>2.0000000000000011E-2</c:v>
                </c:pt>
              </c:numCache>
            </c:numRef>
          </c:val>
        </c:ser>
        <c:dLbls>
          <c:showLegendKey val="0"/>
          <c:showVal val="1"/>
          <c:showCatName val="0"/>
          <c:showSerName val="0"/>
          <c:showPercent val="0"/>
          <c:showBubbleSize val="0"/>
        </c:dLbls>
        <c:gapWidth val="40"/>
        <c:axId val="25161088"/>
        <c:axId val="24781952"/>
      </c:barChart>
      <c:catAx>
        <c:axId val="25161088"/>
        <c:scaling>
          <c:orientation val="maxMin"/>
        </c:scaling>
        <c:delete val="0"/>
        <c:axPos val="l"/>
        <c:majorTickMark val="none"/>
        <c:minorTickMark val="none"/>
        <c:tickLblPos val="low"/>
        <c:txPr>
          <a:bodyPr/>
          <a:lstStyle/>
          <a:p>
            <a:pPr>
              <a:defRPr sz="1050"/>
            </a:pPr>
            <a:endParaRPr lang="en-US"/>
          </a:p>
        </c:txPr>
        <c:crossAx val="24781952"/>
        <c:crosses val="autoZero"/>
        <c:auto val="1"/>
        <c:lblAlgn val="ctr"/>
        <c:lblOffset val="100"/>
        <c:noMultiLvlLbl val="0"/>
      </c:catAx>
      <c:valAx>
        <c:axId val="24781952"/>
        <c:scaling>
          <c:orientation val="minMax"/>
        </c:scaling>
        <c:delete val="1"/>
        <c:axPos val="b"/>
        <c:numFmt formatCode="0%" sourceLinked="1"/>
        <c:majorTickMark val="none"/>
        <c:minorTickMark val="none"/>
        <c:tickLblPos val="none"/>
        <c:crossAx val="25161088"/>
        <c:crosses val="max"/>
        <c:crossBetween val="between"/>
      </c:valAx>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charts!$A$904</c:f>
              <c:strCache>
                <c:ptCount val="1"/>
                <c:pt idx="0">
                  <c:v>2-9 employees</c:v>
                </c:pt>
              </c:strCache>
            </c:strRef>
          </c:tx>
          <c:invertIfNegative val="0"/>
          <c:dLbls>
            <c:dLbl>
              <c:idx val="1"/>
              <c:spPr/>
              <c:txPr>
                <a:bodyPr/>
                <a:lstStyle/>
                <a:p>
                  <a:pPr>
                    <a:defRPr sz="1100" b="1">
                      <a:solidFill>
                        <a:schemeClr val="bg1"/>
                      </a:solidFill>
                    </a:defRPr>
                  </a:pPr>
                  <a:endParaRPr lang="en-US"/>
                </a:p>
              </c:txPr>
              <c:showLegendKey val="0"/>
              <c:showVal val="1"/>
              <c:showCatName val="0"/>
              <c:showSerName val="0"/>
              <c:showPercent val="0"/>
              <c:showBubbleSize val="0"/>
            </c:dLbl>
            <c:dLbl>
              <c:idx val="9"/>
              <c:spPr/>
              <c:txPr>
                <a:bodyPr/>
                <a:lstStyle/>
                <a:p>
                  <a:pPr>
                    <a:defRPr sz="1100" i="1">
                      <a:solidFill>
                        <a:schemeClr val="bg1"/>
                      </a:solidFill>
                    </a:defRPr>
                  </a:pPr>
                  <a:endParaRPr lang="en-US"/>
                </a:p>
              </c:txPr>
              <c:showLegendKey val="0"/>
              <c:showVal val="1"/>
              <c:showCatName val="0"/>
              <c:showSerName val="0"/>
              <c:showPercent val="0"/>
              <c:showBubbleSize val="0"/>
            </c:dLbl>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charts!$B$903:$K$903</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charts!$B$904:$K$904</c:f>
              <c:numCache>
                <c:formatCode>0%</c:formatCode>
                <c:ptCount val="10"/>
                <c:pt idx="0">
                  <c:v>0.73000000000000043</c:v>
                </c:pt>
                <c:pt idx="1">
                  <c:v>0.92999999999999994</c:v>
                </c:pt>
                <c:pt idx="2">
                  <c:v>0.72000000000000042</c:v>
                </c:pt>
                <c:pt idx="3">
                  <c:v>0.74000000000000044</c:v>
                </c:pt>
                <c:pt idx="4">
                  <c:v>0.73000000000000043</c:v>
                </c:pt>
                <c:pt idx="5">
                  <c:v>0.84000000000000052</c:v>
                </c:pt>
                <c:pt idx="6">
                  <c:v>0.75000000000000044</c:v>
                </c:pt>
                <c:pt idx="7">
                  <c:v>0.77000000000000046</c:v>
                </c:pt>
                <c:pt idx="8">
                  <c:v>0.83000000000000052</c:v>
                </c:pt>
                <c:pt idx="9">
                  <c:v>0.38000000000000023</c:v>
                </c:pt>
              </c:numCache>
            </c:numRef>
          </c:val>
        </c:ser>
        <c:ser>
          <c:idx val="1"/>
          <c:order val="1"/>
          <c:tx>
            <c:strRef>
              <c:f>charts!$A$905</c:f>
              <c:strCache>
                <c:ptCount val="1"/>
                <c:pt idx="0">
                  <c:v>10-24 employees</c:v>
                </c:pt>
              </c:strCache>
            </c:strRef>
          </c:tx>
          <c:invertIfNegative val="0"/>
          <c:dLbls>
            <c:dLbl>
              <c:idx val="1"/>
              <c:layout>
                <c:manualLayout>
                  <c:x val="-3.4575904916261481E-2"/>
                  <c:y val="-3.1077583833489376E-3"/>
                </c:manualLayout>
              </c:layout>
              <c:showLegendKey val="0"/>
              <c:showVal val="1"/>
              <c:showCatName val="0"/>
              <c:showSerName val="0"/>
              <c:showPercent val="0"/>
              <c:showBubbleSize val="0"/>
            </c:dLbl>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charts!$B$903:$K$903</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charts!$B$905:$K$905</c:f>
              <c:numCache>
                <c:formatCode>0%</c:formatCode>
                <c:ptCount val="10"/>
                <c:pt idx="0">
                  <c:v>0.16</c:v>
                </c:pt>
                <c:pt idx="1">
                  <c:v>0.05</c:v>
                </c:pt>
                <c:pt idx="2">
                  <c:v>0.1800000000000001</c:v>
                </c:pt>
                <c:pt idx="3">
                  <c:v>0.17</c:v>
                </c:pt>
                <c:pt idx="4">
                  <c:v>0.16</c:v>
                </c:pt>
                <c:pt idx="5">
                  <c:v>0.12000000000000002</c:v>
                </c:pt>
                <c:pt idx="6">
                  <c:v>0.16</c:v>
                </c:pt>
                <c:pt idx="7">
                  <c:v>0.14000000000000001</c:v>
                </c:pt>
                <c:pt idx="8">
                  <c:v>0.11</c:v>
                </c:pt>
                <c:pt idx="9">
                  <c:v>0.32000000000000023</c:v>
                </c:pt>
              </c:numCache>
            </c:numRef>
          </c:val>
        </c:ser>
        <c:ser>
          <c:idx val="2"/>
          <c:order val="2"/>
          <c:tx>
            <c:strRef>
              <c:f>charts!$A$906</c:f>
              <c:strCache>
                <c:ptCount val="1"/>
                <c:pt idx="0">
                  <c:v>25-99 employees</c:v>
                </c:pt>
              </c:strCache>
            </c:strRef>
          </c:tx>
          <c:invertIfNegative val="0"/>
          <c:dLbls>
            <c:dLbl>
              <c:idx val="1"/>
              <c:layout>
                <c:manualLayout>
                  <c:x val="-1.0804970286331728E-2"/>
                  <c:y val="-1.8647773923364485E-2"/>
                </c:manualLayout>
              </c:layout>
              <c:showLegendKey val="0"/>
              <c:showVal val="1"/>
              <c:showCatName val="0"/>
              <c:showSerName val="0"/>
              <c:showPercent val="0"/>
              <c:showBubbleSize val="0"/>
            </c:dLbl>
            <c:dLbl>
              <c:idx val="8"/>
              <c:layout>
                <c:manualLayout>
                  <c:x val="-6.4829821717990324E-3"/>
                  <c:y val="9.3240093240093361E-3"/>
                </c:manualLayout>
              </c:layout>
              <c:showLegendKey val="0"/>
              <c:showVal val="1"/>
              <c:showCatName val="0"/>
              <c:showSerName val="0"/>
              <c:showPercent val="0"/>
              <c:showBubbleSize val="0"/>
            </c:dLbl>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charts!$B$903:$K$903</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charts!$B$906:$K$906</c:f>
              <c:numCache>
                <c:formatCode>0%</c:formatCode>
                <c:ptCount val="10"/>
                <c:pt idx="0">
                  <c:v>9.0000000000000024E-2</c:v>
                </c:pt>
                <c:pt idx="1">
                  <c:v>1.0000000000000005E-2</c:v>
                </c:pt>
                <c:pt idx="2">
                  <c:v>4.0000000000000022E-2</c:v>
                </c:pt>
                <c:pt idx="3">
                  <c:v>7.0000000000000021E-2</c:v>
                </c:pt>
                <c:pt idx="4">
                  <c:v>8.0000000000000043E-2</c:v>
                </c:pt>
                <c:pt idx="5">
                  <c:v>4.0000000000000022E-2</c:v>
                </c:pt>
                <c:pt idx="6">
                  <c:v>7.0000000000000021E-2</c:v>
                </c:pt>
                <c:pt idx="7">
                  <c:v>8.0000000000000043E-2</c:v>
                </c:pt>
                <c:pt idx="8">
                  <c:v>0.05</c:v>
                </c:pt>
                <c:pt idx="9">
                  <c:v>0.26</c:v>
                </c:pt>
              </c:numCache>
            </c:numRef>
          </c:val>
        </c:ser>
        <c:ser>
          <c:idx val="3"/>
          <c:order val="3"/>
          <c:tx>
            <c:strRef>
              <c:f>charts!$A$907</c:f>
              <c:strCache>
                <c:ptCount val="1"/>
                <c:pt idx="0">
                  <c:v>100+ employees</c:v>
                </c:pt>
              </c:strCache>
            </c:strRef>
          </c:tx>
          <c:invertIfNegative val="0"/>
          <c:dLbls>
            <c:dLbl>
              <c:idx val="0"/>
              <c:layout>
                <c:manualLayout>
                  <c:x val="0"/>
                  <c:y val="9.3240093240093361E-3"/>
                </c:manualLayout>
              </c:layout>
              <c:showLegendKey val="0"/>
              <c:showVal val="1"/>
              <c:showCatName val="0"/>
              <c:showSerName val="0"/>
              <c:showPercent val="0"/>
              <c:showBubbleSize val="0"/>
            </c:dLbl>
            <c:dLbl>
              <c:idx val="1"/>
              <c:layout>
                <c:manualLayout>
                  <c:x val="-1.2965964343598061E-2"/>
                  <c:y val="1.5540015540015559E-2"/>
                </c:manualLayout>
              </c:layout>
              <c:showLegendKey val="0"/>
              <c:showVal val="1"/>
              <c:showCatName val="0"/>
              <c:showSerName val="0"/>
              <c:showPercent val="0"/>
              <c:showBubbleSize val="0"/>
            </c:dLbl>
            <c:dLbl>
              <c:idx val="4"/>
              <c:layout>
                <c:manualLayout>
                  <c:x val="6.4829821717990324E-3"/>
                  <c:y val="6.216006216006216E-3"/>
                </c:manualLayout>
              </c:layout>
              <c:showLegendKey val="0"/>
              <c:showVal val="1"/>
              <c:showCatName val="0"/>
              <c:showSerName val="0"/>
              <c:showPercent val="0"/>
              <c:showBubbleSize val="0"/>
            </c:dLbl>
            <c:dLbl>
              <c:idx val="5"/>
              <c:delete val="1"/>
            </c:dLbl>
            <c:dLbl>
              <c:idx val="6"/>
              <c:layout>
                <c:manualLayout>
                  <c:x val="0"/>
                  <c:y val="1.8648018648018679E-2"/>
                </c:manualLayout>
              </c:layout>
              <c:showLegendKey val="0"/>
              <c:showVal val="1"/>
              <c:showCatName val="0"/>
              <c:showSerName val="0"/>
              <c:showPercent val="0"/>
              <c:showBubbleSize val="0"/>
            </c:dLbl>
            <c:dLbl>
              <c:idx val="7"/>
              <c:layout>
                <c:manualLayout>
                  <c:x val="0"/>
                  <c:y val="9.3242540486635026E-3"/>
                </c:manualLayout>
              </c:layout>
              <c:showLegendKey val="0"/>
              <c:showVal val="1"/>
              <c:showCatName val="0"/>
              <c:showSerName val="0"/>
              <c:showPercent val="0"/>
              <c:showBubbleSize val="0"/>
            </c:dLbl>
            <c:txPr>
              <a:bodyPr/>
              <a:lstStyle/>
              <a:p>
                <a:pPr>
                  <a:defRPr sz="1050">
                    <a:solidFill>
                      <a:schemeClr val="bg1"/>
                    </a:solidFill>
                  </a:defRPr>
                </a:pPr>
                <a:endParaRPr lang="en-US"/>
              </a:p>
            </c:txPr>
            <c:showLegendKey val="0"/>
            <c:showVal val="1"/>
            <c:showCatName val="0"/>
            <c:showSerName val="0"/>
            <c:showPercent val="0"/>
            <c:showBubbleSize val="0"/>
            <c:showLeaderLines val="0"/>
          </c:dLbls>
          <c:cat>
            <c:strRef>
              <c:f>charts!$B$903:$K$903</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charts!$B$907:$K$907</c:f>
              <c:numCache>
                <c:formatCode>0%</c:formatCode>
                <c:ptCount val="10"/>
                <c:pt idx="0">
                  <c:v>2.0000000000000011E-2</c:v>
                </c:pt>
                <c:pt idx="1">
                  <c:v>1.0000000000000005E-2</c:v>
                </c:pt>
                <c:pt idx="2">
                  <c:v>0.05</c:v>
                </c:pt>
                <c:pt idx="3">
                  <c:v>1.0000000000000005E-2</c:v>
                </c:pt>
                <c:pt idx="4">
                  <c:v>4.0000000000000022E-2</c:v>
                </c:pt>
                <c:pt idx="5">
                  <c:v>0</c:v>
                </c:pt>
                <c:pt idx="6">
                  <c:v>1.0000000000000005E-2</c:v>
                </c:pt>
                <c:pt idx="7">
                  <c:v>1.0000000000000005E-2</c:v>
                </c:pt>
                <c:pt idx="8">
                  <c:v>1.0000000000000005E-2</c:v>
                </c:pt>
                <c:pt idx="9">
                  <c:v>4.0000000000000022E-2</c:v>
                </c:pt>
              </c:numCache>
            </c:numRef>
          </c:val>
        </c:ser>
        <c:dLbls>
          <c:showLegendKey val="0"/>
          <c:showVal val="1"/>
          <c:showCatName val="0"/>
          <c:showSerName val="0"/>
          <c:showPercent val="0"/>
          <c:showBubbleSize val="0"/>
        </c:dLbls>
        <c:gapWidth val="40"/>
        <c:overlap val="100"/>
        <c:axId val="99802496"/>
        <c:axId val="99288192"/>
      </c:barChart>
      <c:catAx>
        <c:axId val="99802496"/>
        <c:scaling>
          <c:orientation val="maxMin"/>
        </c:scaling>
        <c:delete val="0"/>
        <c:axPos val="l"/>
        <c:majorTickMark val="none"/>
        <c:minorTickMark val="none"/>
        <c:tickLblPos val="low"/>
        <c:txPr>
          <a:bodyPr/>
          <a:lstStyle/>
          <a:p>
            <a:pPr>
              <a:defRPr sz="1050"/>
            </a:pPr>
            <a:endParaRPr lang="en-US"/>
          </a:p>
        </c:txPr>
        <c:crossAx val="99288192"/>
        <c:crosses val="autoZero"/>
        <c:auto val="1"/>
        <c:lblAlgn val="ctr"/>
        <c:lblOffset val="100"/>
        <c:noMultiLvlLbl val="0"/>
      </c:catAx>
      <c:valAx>
        <c:axId val="99288192"/>
        <c:scaling>
          <c:orientation val="minMax"/>
        </c:scaling>
        <c:delete val="1"/>
        <c:axPos val="b"/>
        <c:numFmt formatCode="0%" sourceLinked="1"/>
        <c:majorTickMark val="none"/>
        <c:minorTickMark val="none"/>
        <c:tickLblPos val="none"/>
        <c:crossAx val="99802496"/>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charts!$A$925:$A$933</c:f>
              <c:strCache>
                <c:ptCount val="9"/>
                <c:pt idx="0">
                  <c:v>Agriculture/fishing</c:v>
                </c:pt>
                <c:pt idx="1">
                  <c:v>Energy/water</c:v>
                </c:pt>
                <c:pt idx="2">
                  <c:v>Manufacturing</c:v>
                </c:pt>
                <c:pt idx="3">
                  <c:v>Construction</c:v>
                </c:pt>
                <c:pt idx="4">
                  <c:v>Transport/communications</c:v>
                </c:pt>
                <c:pt idx="5">
                  <c:v>Distribution/hotels/restaurants</c:v>
                </c:pt>
                <c:pt idx="6">
                  <c:v>Bankin/finance/insurance</c:v>
                </c:pt>
                <c:pt idx="7">
                  <c:v>Public administration/education/health</c:v>
                </c:pt>
                <c:pt idx="8">
                  <c:v>Other services</c:v>
                </c:pt>
              </c:strCache>
            </c:strRef>
          </c:cat>
          <c:val>
            <c:numRef>
              <c:f>charts!$B$925:$B$933</c:f>
              <c:numCache>
                <c:formatCode>0%</c:formatCode>
                <c:ptCount val="9"/>
                <c:pt idx="0">
                  <c:v>0.05</c:v>
                </c:pt>
                <c:pt idx="1">
                  <c:v>1.0000000000000005E-2</c:v>
                </c:pt>
                <c:pt idx="2">
                  <c:v>7.0000000000000021E-2</c:v>
                </c:pt>
                <c:pt idx="3">
                  <c:v>6.0000000000000032E-2</c:v>
                </c:pt>
                <c:pt idx="4">
                  <c:v>8.0000000000000043E-2</c:v>
                </c:pt>
                <c:pt idx="5">
                  <c:v>0.36000000000000021</c:v>
                </c:pt>
                <c:pt idx="6">
                  <c:v>0.16</c:v>
                </c:pt>
                <c:pt idx="7">
                  <c:v>0.11</c:v>
                </c:pt>
                <c:pt idx="8">
                  <c:v>0.1</c:v>
                </c:pt>
              </c:numCache>
            </c:numRef>
          </c:val>
        </c:ser>
        <c:dLbls>
          <c:showLegendKey val="0"/>
          <c:showVal val="1"/>
          <c:showCatName val="0"/>
          <c:showSerName val="0"/>
          <c:showPercent val="0"/>
          <c:showBubbleSize val="0"/>
        </c:dLbls>
        <c:gapWidth val="40"/>
        <c:axId val="99320960"/>
        <c:axId val="99322496"/>
      </c:barChart>
      <c:catAx>
        <c:axId val="99320960"/>
        <c:scaling>
          <c:orientation val="maxMin"/>
        </c:scaling>
        <c:delete val="0"/>
        <c:axPos val="l"/>
        <c:majorTickMark val="none"/>
        <c:minorTickMark val="none"/>
        <c:tickLblPos val="low"/>
        <c:txPr>
          <a:bodyPr/>
          <a:lstStyle/>
          <a:p>
            <a:pPr>
              <a:defRPr sz="1050"/>
            </a:pPr>
            <a:endParaRPr lang="en-US"/>
          </a:p>
        </c:txPr>
        <c:crossAx val="99322496"/>
        <c:crosses val="autoZero"/>
        <c:auto val="1"/>
        <c:lblAlgn val="ctr"/>
        <c:lblOffset val="100"/>
        <c:noMultiLvlLbl val="0"/>
      </c:catAx>
      <c:valAx>
        <c:axId val="99322496"/>
        <c:scaling>
          <c:orientation val="minMax"/>
        </c:scaling>
        <c:delete val="1"/>
        <c:axPos val="b"/>
        <c:numFmt formatCode="0%" sourceLinked="1"/>
        <c:majorTickMark val="none"/>
        <c:minorTickMark val="none"/>
        <c:tickLblPos val="none"/>
        <c:crossAx val="99320960"/>
        <c:crosses val="max"/>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charts!$A$952</c:f>
              <c:strCache>
                <c:ptCount val="1"/>
                <c:pt idx="0">
                  <c:v>Single site</c:v>
                </c:pt>
              </c:strCache>
            </c:strRef>
          </c:tx>
          <c:invertIfNegative val="0"/>
          <c:dLbls>
            <c:txPr>
              <a:bodyPr/>
              <a:lstStyle/>
              <a:p>
                <a:pPr>
                  <a:defRPr sz="1200">
                    <a:solidFill>
                      <a:schemeClr val="bg1"/>
                    </a:solidFill>
                  </a:defRPr>
                </a:pPr>
                <a:endParaRPr lang="en-US"/>
              </a:p>
            </c:txPr>
            <c:showLegendKey val="0"/>
            <c:showVal val="1"/>
            <c:showCatName val="0"/>
            <c:showSerName val="0"/>
            <c:showPercent val="0"/>
            <c:showBubbleSize val="0"/>
            <c:showLeaderLines val="0"/>
          </c:dLbls>
          <c:cat>
            <c:strRef>
              <c:f>charts!$B$951:$O$951</c:f>
              <c:strCache>
                <c:ptCount val="14"/>
                <c:pt idx="0">
                  <c:v>All employers (1515)</c:v>
                </c:pt>
                <c:pt idx="1">
                  <c:v>2-9 employees (1018)</c:v>
                </c:pt>
                <c:pt idx="2">
                  <c:v>10-24 employees (307)</c:v>
                </c:pt>
                <c:pt idx="3">
                  <c:v>25-99 employees (151)</c:v>
                </c:pt>
                <c:pt idx="4">
                  <c:v>100+ employees (39)</c:v>
                </c:pt>
                <c:pt idx="5">
                  <c:v>Agriculture/fishing (75)</c:v>
                </c:pt>
                <c:pt idx="6">
                  <c:v>Energy/water* (18)</c:v>
                </c:pt>
                <c:pt idx="7">
                  <c:v>Banking/Finance/ Insurance (325)</c:v>
                </c:pt>
                <c:pt idx="8">
                  <c:v>Manufacturing (89)</c:v>
                </c:pt>
                <c:pt idx="9">
                  <c:v>Construction (133)</c:v>
                </c:pt>
                <c:pt idx="10">
                  <c:v>Distribution/hotels/restaurants (461)</c:v>
                </c:pt>
                <c:pt idx="11">
                  <c:v>Transport/communications (95)</c:v>
                </c:pt>
                <c:pt idx="12">
                  <c:v>Other Services (88)</c:v>
                </c:pt>
                <c:pt idx="13">
                  <c:v>Public administration/education/health (231)</c:v>
                </c:pt>
              </c:strCache>
            </c:strRef>
          </c:cat>
          <c:val>
            <c:numRef>
              <c:f>charts!$B$952:$O$952</c:f>
              <c:numCache>
                <c:formatCode>0%</c:formatCode>
                <c:ptCount val="14"/>
                <c:pt idx="0">
                  <c:v>0.66000000000000059</c:v>
                </c:pt>
                <c:pt idx="1">
                  <c:v>0.74000000000000044</c:v>
                </c:pt>
                <c:pt idx="2">
                  <c:v>0.5</c:v>
                </c:pt>
                <c:pt idx="3">
                  <c:v>0.39000000000000024</c:v>
                </c:pt>
                <c:pt idx="4">
                  <c:v>0.2400000000000001</c:v>
                </c:pt>
                <c:pt idx="5">
                  <c:v>0.68</c:v>
                </c:pt>
                <c:pt idx="6">
                  <c:v>0.64000000000000046</c:v>
                </c:pt>
                <c:pt idx="7">
                  <c:v>0.66000000000000059</c:v>
                </c:pt>
                <c:pt idx="8">
                  <c:v>0.8200000000000004</c:v>
                </c:pt>
                <c:pt idx="9">
                  <c:v>0.85000000000000042</c:v>
                </c:pt>
                <c:pt idx="10">
                  <c:v>0.56999999999999995</c:v>
                </c:pt>
                <c:pt idx="11">
                  <c:v>0.67000000000000071</c:v>
                </c:pt>
                <c:pt idx="12">
                  <c:v>0.76000000000000045</c:v>
                </c:pt>
                <c:pt idx="13">
                  <c:v>0.62000000000000044</c:v>
                </c:pt>
              </c:numCache>
            </c:numRef>
          </c:val>
        </c:ser>
        <c:ser>
          <c:idx val="1"/>
          <c:order val="1"/>
          <c:tx>
            <c:strRef>
              <c:f>charts!$A$953</c:f>
              <c:strCache>
                <c:ptCount val="1"/>
                <c:pt idx="0">
                  <c:v>Multi site</c:v>
                </c:pt>
              </c:strCache>
            </c:strRef>
          </c:tx>
          <c:invertIfNegative val="0"/>
          <c:dLbls>
            <c:dLbl>
              <c:idx val="1"/>
              <c:spPr/>
              <c:txPr>
                <a:bodyPr/>
                <a:lstStyle/>
                <a:p>
                  <a:pPr>
                    <a:defRPr sz="1200" i="1">
                      <a:solidFill>
                        <a:schemeClr val="bg1"/>
                      </a:solidFill>
                    </a:defRPr>
                  </a:pPr>
                  <a:endParaRPr lang="en-US"/>
                </a:p>
              </c:txPr>
              <c:showLegendKey val="0"/>
              <c:showVal val="1"/>
              <c:showCatName val="0"/>
              <c:showSerName val="0"/>
              <c:showPercent val="0"/>
              <c:showBubbleSize val="0"/>
            </c:dLbl>
            <c:dLbl>
              <c:idx val="2"/>
              <c:spPr/>
              <c:txPr>
                <a:bodyPr/>
                <a:lstStyle/>
                <a:p>
                  <a:pPr>
                    <a:defRPr sz="1200" b="1">
                      <a:solidFill>
                        <a:schemeClr val="bg1"/>
                      </a:solidFill>
                    </a:defRPr>
                  </a:pPr>
                  <a:endParaRPr lang="en-US"/>
                </a:p>
              </c:txPr>
              <c:showLegendKey val="0"/>
              <c:showVal val="1"/>
              <c:showCatName val="0"/>
              <c:showSerName val="0"/>
              <c:showPercent val="0"/>
              <c:showBubbleSize val="0"/>
            </c:dLbl>
            <c:dLbl>
              <c:idx val="3"/>
              <c:spPr/>
              <c:txPr>
                <a:bodyPr/>
                <a:lstStyle/>
                <a:p>
                  <a:pPr>
                    <a:defRPr sz="1200" b="1">
                      <a:solidFill>
                        <a:schemeClr val="bg1"/>
                      </a:solidFill>
                    </a:defRPr>
                  </a:pPr>
                  <a:endParaRPr lang="en-US"/>
                </a:p>
              </c:txPr>
              <c:showLegendKey val="0"/>
              <c:showVal val="1"/>
              <c:showCatName val="0"/>
              <c:showSerName val="0"/>
              <c:showPercent val="0"/>
              <c:showBubbleSize val="0"/>
            </c:dLbl>
            <c:dLbl>
              <c:idx val="4"/>
              <c:spPr/>
              <c:txPr>
                <a:bodyPr/>
                <a:lstStyle/>
                <a:p>
                  <a:pPr>
                    <a:defRPr sz="1200" b="1">
                      <a:solidFill>
                        <a:schemeClr val="bg1"/>
                      </a:solidFill>
                    </a:defRPr>
                  </a:pPr>
                  <a:endParaRPr lang="en-US"/>
                </a:p>
              </c:txPr>
              <c:showLegendKey val="0"/>
              <c:showVal val="1"/>
              <c:showCatName val="0"/>
              <c:showSerName val="0"/>
              <c:showPercent val="0"/>
              <c:showBubbleSize val="0"/>
            </c:dLbl>
            <c:dLbl>
              <c:idx val="8"/>
              <c:spPr/>
              <c:txPr>
                <a:bodyPr/>
                <a:lstStyle/>
                <a:p>
                  <a:pPr>
                    <a:defRPr sz="1200" i="1">
                      <a:solidFill>
                        <a:schemeClr val="bg1"/>
                      </a:solidFill>
                    </a:defRPr>
                  </a:pPr>
                  <a:endParaRPr lang="en-US"/>
                </a:p>
              </c:txPr>
              <c:showLegendKey val="0"/>
              <c:showVal val="1"/>
              <c:showCatName val="0"/>
              <c:showSerName val="0"/>
              <c:showPercent val="0"/>
              <c:showBubbleSize val="0"/>
            </c:dLbl>
            <c:dLbl>
              <c:idx val="9"/>
              <c:spPr/>
              <c:txPr>
                <a:bodyPr/>
                <a:lstStyle/>
                <a:p>
                  <a:pPr>
                    <a:defRPr sz="1200" i="1">
                      <a:solidFill>
                        <a:schemeClr val="bg1"/>
                      </a:solidFill>
                    </a:defRPr>
                  </a:pPr>
                  <a:endParaRPr lang="en-US"/>
                </a:p>
              </c:txPr>
              <c:showLegendKey val="0"/>
              <c:showVal val="1"/>
              <c:showCatName val="0"/>
              <c:showSerName val="0"/>
              <c:showPercent val="0"/>
              <c:showBubbleSize val="0"/>
            </c:dLbl>
            <c:dLbl>
              <c:idx val="10"/>
              <c:spPr/>
              <c:txPr>
                <a:bodyPr/>
                <a:lstStyle/>
                <a:p>
                  <a:pPr>
                    <a:defRPr sz="1200" b="1">
                      <a:solidFill>
                        <a:schemeClr val="bg1"/>
                      </a:solidFill>
                    </a:defRPr>
                  </a:pPr>
                  <a:endParaRPr lang="en-US"/>
                </a:p>
              </c:txPr>
              <c:showLegendKey val="0"/>
              <c:showVal val="1"/>
              <c:showCatName val="0"/>
              <c:showSerName val="0"/>
              <c:showPercent val="0"/>
              <c:showBubbleSize val="0"/>
            </c:dLbl>
            <c:txPr>
              <a:bodyPr/>
              <a:lstStyle/>
              <a:p>
                <a:pPr>
                  <a:defRPr sz="1200">
                    <a:solidFill>
                      <a:schemeClr val="bg1"/>
                    </a:solidFill>
                  </a:defRPr>
                </a:pPr>
                <a:endParaRPr lang="en-US"/>
              </a:p>
            </c:txPr>
            <c:showLegendKey val="0"/>
            <c:showVal val="1"/>
            <c:showCatName val="0"/>
            <c:showSerName val="0"/>
            <c:showPercent val="0"/>
            <c:showBubbleSize val="0"/>
            <c:showLeaderLines val="0"/>
          </c:dLbls>
          <c:cat>
            <c:strRef>
              <c:f>charts!$B$951:$O$951</c:f>
              <c:strCache>
                <c:ptCount val="14"/>
                <c:pt idx="0">
                  <c:v>All employers (1515)</c:v>
                </c:pt>
                <c:pt idx="1">
                  <c:v>2-9 employees (1018)</c:v>
                </c:pt>
                <c:pt idx="2">
                  <c:v>10-24 employees (307)</c:v>
                </c:pt>
                <c:pt idx="3">
                  <c:v>25-99 employees (151)</c:v>
                </c:pt>
                <c:pt idx="4">
                  <c:v>100+ employees (39)</c:v>
                </c:pt>
                <c:pt idx="5">
                  <c:v>Agriculture/fishing (75)</c:v>
                </c:pt>
                <c:pt idx="6">
                  <c:v>Energy/water* (18)</c:v>
                </c:pt>
                <c:pt idx="7">
                  <c:v>Banking/Finance/ Insurance (325)</c:v>
                </c:pt>
                <c:pt idx="8">
                  <c:v>Manufacturing (89)</c:v>
                </c:pt>
                <c:pt idx="9">
                  <c:v>Construction (133)</c:v>
                </c:pt>
                <c:pt idx="10">
                  <c:v>Distribution/hotels/restaurants (461)</c:v>
                </c:pt>
                <c:pt idx="11">
                  <c:v>Transport/communications (95)</c:v>
                </c:pt>
                <c:pt idx="12">
                  <c:v>Other Services (88)</c:v>
                </c:pt>
                <c:pt idx="13">
                  <c:v>Public administration/education/health (231)</c:v>
                </c:pt>
              </c:strCache>
            </c:strRef>
          </c:cat>
          <c:val>
            <c:numRef>
              <c:f>charts!$B$953:$O$953</c:f>
              <c:numCache>
                <c:formatCode>0%</c:formatCode>
                <c:ptCount val="14"/>
                <c:pt idx="0">
                  <c:v>0.34</c:v>
                </c:pt>
                <c:pt idx="1">
                  <c:v>0.26</c:v>
                </c:pt>
                <c:pt idx="2">
                  <c:v>0.5</c:v>
                </c:pt>
                <c:pt idx="3">
                  <c:v>0.61000000000000043</c:v>
                </c:pt>
                <c:pt idx="4">
                  <c:v>0.76000000000000045</c:v>
                </c:pt>
                <c:pt idx="5">
                  <c:v>0.32000000000000023</c:v>
                </c:pt>
                <c:pt idx="6">
                  <c:v>0.36000000000000021</c:v>
                </c:pt>
                <c:pt idx="7">
                  <c:v>0.34</c:v>
                </c:pt>
                <c:pt idx="8">
                  <c:v>0.1800000000000001</c:v>
                </c:pt>
                <c:pt idx="9">
                  <c:v>0.15000000000000011</c:v>
                </c:pt>
                <c:pt idx="10">
                  <c:v>0.43000000000000022</c:v>
                </c:pt>
                <c:pt idx="11">
                  <c:v>0.33000000000000035</c:v>
                </c:pt>
                <c:pt idx="12">
                  <c:v>0.2400000000000001</c:v>
                </c:pt>
                <c:pt idx="13">
                  <c:v>0.38000000000000023</c:v>
                </c:pt>
              </c:numCache>
            </c:numRef>
          </c:val>
        </c:ser>
        <c:dLbls>
          <c:showLegendKey val="0"/>
          <c:showVal val="1"/>
          <c:showCatName val="0"/>
          <c:showSerName val="0"/>
          <c:showPercent val="0"/>
          <c:showBubbleSize val="0"/>
        </c:dLbls>
        <c:gapWidth val="40"/>
        <c:overlap val="100"/>
        <c:axId val="99096832"/>
        <c:axId val="99110912"/>
      </c:barChart>
      <c:catAx>
        <c:axId val="99096832"/>
        <c:scaling>
          <c:orientation val="maxMin"/>
        </c:scaling>
        <c:delete val="0"/>
        <c:axPos val="l"/>
        <c:majorTickMark val="none"/>
        <c:minorTickMark val="none"/>
        <c:tickLblPos val="low"/>
        <c:txPr>
          <a:bodyPr/>
          <a:lstStyle/>
          <a:p>
            <a:pPr>
              <a:defRPr sz="1050"/>
            </a:pPr>
            <a:endParaRPr lang="en-US"/>
          </a:p>
        </c:txPr>
        <c:crossAx val="99110912"/>
        <c:crosses val="autoZero"/>
        <c:auto val="1"/>
        <c:lblAlgn val="ctr"/>
        <c:lblOffset val="100"/>
        <c:noMultiLvlLbl val="0"/>
      </c:catAx>
      <c:valAx>
        <c:axId val="99110912"/>
        <c:scaling>
          <c:orientation val="minMax"/>
        </c:scaling>
        <c:delete val="1"/>
        <c:axPos val="b"/>
        <c:numFmt formatCode="0%" sourceLinked="1"/>
        <c:majorTickMark val="none"/>
        <c:minorTickMark val="none"/>
        <c:tickLblPos val="none"/>
        <c:crossAx val="99096832"/>
        <c:crosses val="max"/>
        <c:crossBetween val="between"/>
      </c:valAx>
    </c:plotArea>
    <c:legend>
      <c:legendPos val="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40"/>
      <c:rotY val="201"/>
      <c:rAngAx val="0"/>
      <c:perspective val="30"/>
    </c:view3D>
    <c:floor>
      <c:thickness val="0"/>
    </c:floor>
    <c:sideWall>
      <c:thickness val="0"/>
    </c:sideWall>
    <c:backWall>
      <c:thickness val="0"/>
    </c:backWall>
    <c:plotArea>
      <c:layout>
        <c:manualLayout>
          <c:layoutTarget val="inner"/>
          <c:xMode val="edge"/>
          <c:yMode val="edge"/>
          <c:x val="0.22478612114481464"/>
          <c:y val="7.7208463443611833E-2"/>
          <c:w val="0.54906401392498261"/>
          <c:h val="0.84135181199557874"/>
        </c:manualLayout>
      </c:layout>
      <c:pie3DChart>
        <c:varyColors val="1"/>
        <c:ser>
          <c:idx val="0"/>
          <c:order val="0"/>
          <c:dLbls>
            <c:dLbl>
              <c:idx val="0"/>
              <c:layout>
                <c:manualLayout>
                  <c:x val="0.15555555555555556"/>
                  <c:y val="6.9444444444444503E-2"/>
                </c:manualLayout>
              </c:layout>
              <c:dLblPos val="bestFit"/>
              <c:showLegendKey val="0"/>
              <c:showVal val="0"/>
              <c:showCatName val="1"/>
              <c:showSerName val="0"/>
              <c:showPercent val="1"/>
              <c:showBubbleSize val="0"/>
            </c:dLbl>
            <c:dLbl>
              <c:idx val="2"/>
              <c:layout>
                <c:manualLayout>
                  <c:x val="-1.1111111111111125E-2"/>
                  <c:y val="-4.1666666666666664E-2"/>
                </c:manualLayout>
              </c:layout>
              <c:dLblPos val="bestFit"/>
              <c:showLegendKey val="0"/>
              <c:showVal val="0"/>
              <c:showCatName val="1"/>
              <c:showSerName val="0"/>
              <c:showPercent val="1"/>
              <c:showBubbleSize val="0"/>
            </c:dLbl>
            <c:spPr>
              <a:ln>
                <a:noFill/>
              </a:ln>
            </c:spPr>
            <c:txPr>
              <a:bodyPr/>
              <a:lstStyle/>
              <a:p>
                <a:pPr>
                  <a:defRPr sz="1100"/>
                </a:pPr>
                <a:endParaRPr lang="en-US"/>
              </a:p>
            </c:txPr>
            <c:dLblPos val="outEnd"/>
            <c:showLegendKey val="0"/>
            <c:showVal val="0"/>
            <c:showCatName val="1"/>
            <c:showSerName val="0"/>
            <c:showPercent val="1"/>
            <c:showBubbleSize val="0"/>
            <c:showLeaderLines val="1"/>
          </c:dLbls>
          <c:cat>
            <c:strRef>
              <c:f>charts!$A$968:$A$973</c:f>
              <c:strCache>
                <c:ptCount val="6"/>
                <c:pt idx="0">
                  <c:v>Less than a year</c:v>
                </c:pt>
                <c:pt idx="1">
                  <c:v>1 - 2 years</c:v>
                </c:pt>
                <c:pt idx="2">
                  <c:v>2 - 5 years</c:v>
                </c:pt>
                <c:pt idx="3">
                  <c:v>5 - 10 years</c:v>
                </c:pt>
                <c:pt idx="4">
                  <c:v>11 - 20 years</c:v>
                </c:pt>
                <c:pt idx="5">
                  <c:v>More than 20 years</c:v>
                </c:pt>
              </c:strCache>
            </c:strRef>
          </c:cat>
          <c:val>
            <c:numRef>
              <c:f>charts!$B$968:$B$973</c:f>
              <c:numCache>
                <c:formatCode>0%</c:formatCode>
                <c:ptCount val="6"/>
                <c:pt idx="0">
                  <c:v>3.0000000000000002E-2</c:v>
                </c:pt>
                <c:pt idx="1">
                  <c:v>3.0000000000000002E-2</c:v>
                </c:pt>
                <c:pt idx="2">
                  <c:v>9.0000000000000024E-2</c:v>
                </c:pt>
                <c:pt idx="3">
                  <c:v>0.17</c:v>
                </c:pt>
                <c:pt idx="4">
                  <c:v>0.22</c:v>
                </c:pt>
                <c:pt idx="5">
                  <c:v>0.47000000000000008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dLbl>
              <c:idx val="10"/>
              <c:tx>
                <c:rich>
                  <a:bodyPr/>
                  <a:lstStyle/>
                  <a:p>
                    <a:r>
                      <a:rPr lang="en-US"/>
                      <a:t>*%</a:t>
                    </a:r>
                  </a:p>
                </c:rich>
              </c:tx>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charts!$A$984:$A$995</c:f>
              <c:strCache>
                <c:ptCount val="12"/>
                <c:pt idx="0">
                  <c:v>Less than £73,000</c:v>
                </c:pt>
                <c:pt idx="1">
                  <c:v>£73,000 - £99,999</c:v>
                </c:pt>
                <c:pt idx="2">
                  <c:v>£100,000 - £249,999</c:v>
                </c:pt>
                <c:pt idx="3">
                  <c:v>£250,000 - £499,999</c:v>
                </c:pt>
                <c:pt idx="4">
                  <c:v>£500,000 - £999,999</c:v>
                </c:pt>
                <c:pt idx="5">
                  <c:v>£1m - £1.49m</c:v>
                </c:pt>
                <c:pt idx="6">
                  <c:v>£1.5m - £2.8m</c:v>
                </c:pt>
                <c:pt idx="7">
                  <c:v>£2.81m - £4.99m</c:v>
                </c:pt>
                <c:pt idx="8">
                  <c:v>£5m - £9.99m</c:v>
                </c:pt>
                <c:pt idx="9">
                  <c:v>£10m - £14.99m</c:v>
                </c:pt>
                <c:pt idx="10">
                  <c:v>£15m - £19.99m</c:v>
                </c:pt>
                <c:pt idx="11">
                  <c:v>£20m or more</c:v>
                </c:pt>
              </c:strCache>
            </c:strRef>
          </c:cat>
          <c:val>
            <c:numRef>
              <c:f>charts!$B$984:$B$995</c:f>
              <c:numCache>
                <c:formatCode>0%</c:formatCode>
                <c:ptCount val="12"/>
                <c:pt idx="0">
                  <c:v>0.29601226993865126</c:v>
                </c:pt>
                <c:pt idx="1">
                  <c:v>0.13496932515337443</c:v>
                </c:pt>
                <c:pt idx="2">
                  <c:v>0.38957055214723968</c:v>
                </c:pt>
                <c:pt idx="3">
                  <c:v>0.22699386503067484</c:v>
                </c:pt>
                <c:pt idx="4">
                  <c:v>0.16104294478527628</c:v>
                </c:pt>
                <c:pt idx="5">
                  <c:v>0.10582822085889572</c:v>
                </c:pt>
                <c:pt idx="6">
                  <c:v>0.11196319018404909</c:v>
                </c:pt>
                <c:pt idx="7">
                  <c:v>5.6748466257668724E-2</c:v>
                </c:pt>
                <c:pt idx="8">
                  <c:v>3.9877300613496994E-2</c:v>
                </c:pt>
                <c:pt idx="9">
                  <c:v>1.68711656441718E-2</c:v>
                </c:pt>
                <c:pt idx="10">
                  <c:v>4.6012269938650423E-3</c:v>
                </c:pt>
                <c:pt idx="11">
                  <c:v>3.2208588957055216E-2</c:v>
                </c:pt>
              </c:numCache>
            </c:numRef>
          </c:val>
        </c:ser>
        <c:dLbls>
          <c:showLegendKey val="0"/>
          <c:showVal val="1"/>
          <c:showCatName val="0"/>
          <c:showSerName val="0"/>
          <c:showPercent val="0"/>
          <c:showBubbleSize val="0"/>
        </c:dLbls>
        <c:gapWidth val="40"/>
        <c:axId val="99162368"/>
        <c:axId val="99180544"/>
      </c:barChart>
      <c:catAx>
        <c:axId val="99162368"/>
        <c:scaling>
          <c:orientation val="maxMin"/>
        </c:scaling>
        <c:delete val="0"/>
        <c:axPos val="l"/>
        <c:majorTickMark val="none"/>
        <c:minorTickMark val="none"/>
        <c:tickLblPos val="low"/>
        <c:txPr>
          <a:bodyPr/>
          <a:lstStyle/>
          <a:p>
            <a:pPr>
              <a:defRPr sz="1050"/>
            </a:pPr>
            <a:endParaRPr lang="en-US"/>
          </a:p>
        </c:txPr>
        <c:crossAx val="99180544"/>
        <c:crosses val="autoZero"/>
        <c:auto val="1"/>
        <c:lblAlgn val="ctr"/>
        <c:lblOffset val="100"/>
        <c:noMultiLvlLbl val="0"/>
      </c:catAx>
      <c:valAx>
        <c:axId val="99180544"/>
        <c:scaling>
          <c:orientation val="minMax"/>
        </c:scaling>
        <c:delete val="1"/>
        <c:axPos val="b"/>
        <c:numFmt formatCode="0%" sourceLinked="1"/>
        <c:majorTickMark val="none"/>
        <c:minorTickMark val="none"/>
        <c:tickLblPos val="none"/>
        <c:crossAx val="99162368"/>
        <c:crosses val="max"/>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charts!$N$91</c:f>
              <c:strCache>
                <c:ptCount val="1"/>
                <c:pt idx="0">
                  <c:v>Rating 1-4</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charts!$M$92:$M$103</c:f>
              <c:strCache>
                <c:ptCount val="12"/>
                <c:pt idx="0">
                  <c:v>Access to customers (1459)</c:v>
                </c:pt>
                <c:pt idx="1">
                  <c:v>Wide range of housing (1434)</c:v>
                </c:pt>
                <c:pt idx="2">
                  <c:v>Strong communities (1462)</c:v>
                </c:pt>
                <c:pt idx="3">
                  <c:v>Access to suppliers (1407)</c:v>
                </c:pt>
                <c:pt idx="4">
                  <c:v>A place my business can grow (1455)</c:v>
                </c:pt>
                <c:pt idx="5">
                  <c:v>Cost of premises/rents/business rates (1334)</c:v>
                </c:pt>
                <c:pt idx="6">
                  <c:v>Availability of skilled staff (1403)</c:v>
                </c:pt>
                <c:pt idx="7">
                  <c:v>Range of retail and leisure facilities (1471)</c:v>
                </c:pt>
                <c:pt idx="8">
                  <c:v>Support is available for businesses to grow (1351)</c:v>
                </c:pt>
                <c:pt idx="9">
                  <c:v>Image of Greater Lincolnshire as seen by external suppliers and customers (1284)</c:v>
                </c:pt>
                <c:pt idx="10">
                  <c:v>The profile of the county in terms of attracting people to move here to work (1426)</c:v>
                </c:pt>
                <c:pt idx="11">
                  <c:v>Transport infrastructure (1330)</c:v>
                </c:pt>
              </c:strCache>
            </c:strRef>
          </c:cat>
          <c:val>
            <c:numRef>
              <c:f>charts!$N$92:$N$103</c:f>
              <c:numCache>
                <c:formatCode>0%</c:formatCode>
                <c:ptCount val="12"/>
                <c:pt idx="0">
                  <c:v>0.10075394105551773</c:v>
                </c:pt>
                <c:pt idx="1">
                  <c:v>9.7629009762901023E-2</c:v>
                </c:pt>
                <c:pt idx="2">
                  <c:v>9.986320109439123E-2</c:v>
                </c:pt>
                <c:pt idx="3">
                  <c:v>0.10660980810234517</c:v>
                </c:pt>
                <c:pt idx="4">
                  <c:v>0.10927835051546392</c:v>
                </c:pt>
                <c:pt idx="5">
                  <c:v>0.18290854572713708</c:v>
                </c:pt>
                <c:pt idx="6">
                  <c:v>0.18175338560228144</c:v>
                </c:pt>
                <c:pt idx="7">
                  <c:v>0.20938137321549971</c:v>
                </c:pt>
                <c:pt idx="8">
                  <c:v>0.21687638786084432</c:v>
                </c:pt>
                <c:pt idx="9">
                  <c:v>0.18535825545171344</c:v>
                </c:pt>
                <c:pt idx="10">
                  <c:v>0.24123422159887836</c:v>
                </c:pt>
                <c:pt idx="11">
                  <c:v>0.37969924812030076</c:v>
                </c:pt>
              </c:numCache>
            </c:numRef>
          </c:val>
        </c:ser>
        <c:ser>
          <c:idx val="1"/>
          <c:order val="1"/>
          <c:tx>
            <c:strRef>
              <c:f>charts!$O$91</c:f>
              <c:strCache>
                <c:ptCount val="1"/>
                <c:pt idx="0">
                  <c:v>Rating 5</c:v>
                </c:pt>
              </c:strCache>
            </c:strRef>
          </c:tx>
          <c:invertIfNegative val="0"/>
          <c:dLbls>
            <c:txPr>
              <a:bodyPr/>
              <a:lstStyle/>
              <a:p>
                <a:pPr>
                  <a:defRPr sz="1050">
                    <a:solidFill>
                      <a:schemeClr val="bg1"/>
                    </a:solidFill>
                  </a:defRPr>
                </a:pPr>
                <a:endParaRPr lang="en-US"/>
              </a:p>
            </c:txPr>
            <c:showLegendKey val="0"/>
            <c:showVal val="1"/>
            <c:showCatName val="0"/>
            <c:showSerName val="0"/>
            <c:showPercent val="0"/>
            <c:showBubbleSize val="0"/>
            <c:showLeaderLines val="0"/>
          </c:dLbls>
          <c:cat>
            <c:strRef>
              <c:f>charts!$M$92:$M$103</c:f>
              <c:strCache>
                <c:ptCount val="12"/>
                <c:pt idx="0">
                  <c:v>Access to customers (1459)</c:v>
                </c:pt>
                <c:pt idx="1">
                  <c:v>Wide range of housing (1434)</c:v>
                </c:pt>
                <c:pt idx="2">
                  <c:v>Strong communities (1462)</c:v>
                </c:pt>
                <c:pt idx="3">
                  <c:v>Access to suppliers (1407)</c:v>
                </c:pt>
                <c:pt idx="4">
                  <c:v>A place my business can grow (1455)</c:v>
                </c:pt>
                <c:pt idx="5">
                  <c:v>Cost of premises/rents/business rates (1334)</c:v>
                </c:pt>
                <c:pt idx="6">
                  <c:v>Availability of skilled staff (1403)</c:v>
                </c:pt>
                <c:pt idx="7">
                  <c:v>Range of retail and leisure facilities (1471)</c:v>
                </c:pt>
                <c:pt idx="8">
                  <c:v>Support is available for businesses to grow (1351)</c:v>
                </c:pt>
                <c:pt idx="9">
                  <c:v>Image of Greater Lincolnshire as seen by external suppliers and customers (1284)</c:v>
                </c:pt>
                <c:pt idx="10">
                  <c:v>The profile of the county in terms of attracting people to move here to work (1426)</c:v>
                </c:pt>
                <c:pt idx="11">
                  <c:v>Transport infrastructure (1330)</c:v>
                </c:pt>
              </c:strCache>
            </c:strRef>
          </c:cat>
          <c:val>
            <c:numRef>
              <c:f>charts!$O$92:$O$103</c:f>
              <c:numCache>
                <c:formatCode>0%</c:formatCode>
                <c:ptCount val="12"/>
                <c:pt idx="0">
                  <c:v>0.11857436600411242</c:v>
                </c:pt>
                <c:pt idx="1">
                  <c:v>0.12622036262203626</c:v>
                </c:pt>
                <c:pt idx="2">
                  <c:v>0.12311901504787962</c:v>
                </c:pt>
                <c:pt idx="3">
                  <c:v>0.13717128642501777</c:v>
                </c:pt>
                <c:pt idx="4">
                  <c:v>0.13539518900343644</c:v>
                </c:pt>
                <c:pt idx="5">
                  <c:v>0.15742128935532324</c:v>
                </c:pt>
                <c:pt idx="6">
                  <c:v>0.16464718460441921</c:v>
                </c:pt>
                <c:pt idx="7">
                  <c:v>0.17267165193745737</c:v>
                </c:pt>
                <c:pt idx="8">
                  <c:v>0.20355292376017764</c:v>
                </c:pt>
                <c:pt idx="9">
                  <c:v>0.1884735202492212</c:v>
                </c:pt>
                <c:pt idx="10">
                  <c:v>0.20126227208976191</c:v>
                </c:pt>
                <c:pt idx="11">
                  <c:v>0.16015037593984913</c:v>
                </c:pt>
              </c:numCache>
            </c:numRef>
          </c:val>
        </c:ser>
        <c:ser>
          <c:idx val="2"/>
          <c:order val="2"/>
          <c:tx>
            <c:strRef>
              <c:f>charts!$P$91</c:f>
              <c:strCache>
                <c:ptCount val="1"/>
                <c:pt idx="0">
                  <c:v>Rating 6-7</c:v>
                </c:pt>
              </c:strCache>
            </c:strRef>
          </c:tx>
          <c:invertIfNegative val="0"/>
          <c:dLbls>
            <c:txPr>
              <a:bodyPr/>
              <a:lstStyle/>
              <a:p>
                <a:pPr>
                  <a:defRPr sz="1050">
                    <a:solidFill>
                      <a:schemeClr val="bg1"/>
                    </a:solidFill>
                  </a:defRPr>
                </a:pPr>
                <a:endParaRPr lang="en-US"/>
              </a:p>
            </c:txPr>
            <c:showLegendKey val="0"/>
            <c:showVal val="1"/>
            <c:showCatName val="0"/>
            <c:showSerName val="0"/>
            <c:showPercent val="0"/>
            <c:showBubbleSize val="0"/>
            <c:showLeaderLines val="0"/>
          </c:dLbls>
          <c:cat>
            <c:strRef>
              <c:f>charts!$M$92:$M$103</c:f>
              <c:strCache>
                <c:ptCount val="12"/>
                <c:pt idx="0">
                  <c:v>Access to customers (1459)</c:v>
                </c:pt>
                <c:pt idx="1">
                  <c:v>Wide range of housing (1434)</c:v>
                </c:pt>
                <c:pt idx="2">
                  <c:v>Strong communities (1462)</c:v>
                </c:pt>
                <c:pt idx="3">
                  <c:v>Access to suppliers (1407)</c:v>
                </c:pt>
                <c:pt idx="4">
                  <c:v>A place my business can grow (1455)</c:v>
                </c:pt>
                <c:pt idx="5">
                  <c:v>Cost of premises/rents/business rates (1334)</c:v>
                </c:pt>
                <c:pt idx="6">
                  <c:v>Availability of skilled staff (1403)</c:v>
                </c:pt>
                <c:pt idx="7">
                  <c:v>Range of retail and leisure facilities (1471)</c:v>
                </c:pt>
                <c:pt idx="8">
                  <c:v>Support is available for businesses to grow (1351)</c:v>
                </c:pt>
                <c:pt idx="9">
                  <c:v>Image of Greater Lincolnshire as seen by external suppliers and customers (1284)</c:v>
                </c:pt>
                <c:pt idx="10">
                  <c:v>The profile of the county in terms of attracting people to move here to work (1426)</c:v>
                </c:pt>
                <c:pt idx="11">
                  <c:v>Transport infrastructure (1330)</c:v>
                </c:pt>
              </c:strCache>
            </c:strRef>
          </c:cat>
          <c:val>
            <c:numRef>
              <c:f>charts!$P$92:$P$103</c:f>
              <c:numCache>
                <c:formatCode>0%</c:formatCode>
                <c:ptCount val="12"/>
                <c:pt idx="0">
                  <c:v>0.28444139821795822</c:v>
                </c:pt>
                <c:pt idx="1">
                  <c:v>0.28870292887029286</c:v>
                </c:pt>
                <c:pt idx="2">
                  <c:v>0.29343365253077974</c:v>
                </c:pt>
                <c:pt idx="3">
                  <c:v>0.30774697938877177</c:v>
                </c:pt>
                <c:pt idx="4">
                  <c:v>0.32233676975945263</c:v>
                </c:pt>
                <c:pt idx="5">
                  <c:v>0.30434782608695682</c:v>
                </c:pt>
                <c:pt idx="6">
                  <c:v>0.29864575908766938</c:v>
                </c:pt>
                <c:pt idx="7">
                  <c:v>0.33310673011556857</c:v>
                </c:pt>
                <c:pt idx="8">
                  <c:v>0.30273871206513675</c:v>
                </c:pt>
                <c:pt idx="9">
                  <c:v>0.36059190031152649</c:v>
                </c:pt>
                <c:pt idx="10">
                  <c:v>0.32959326788218873</c:v>
                </c:pt>
                <c:pt idx="11">
                  <c:v>0.24962406015037594</c:v>
                </c:pt>
              </c:numCache>
            </c:numRef>
          </c:val>
        </c:ser>
        <c:ser>
          <c:idx val="3"/>
          <c:order val="3"/>
          <c:tx>
            <c:strRef>
              <c:f>charts!$Q$91</c:f>
              <c:strCache>
                <c:ptCount val="1"/>
                <c:pt idx="0">
                  <c:v>rating 8-10</c:v>
                </c:pt>
              </c:strCache>
            </c:strRef>
          </c:tx>
          <c:invertIfNegative val="0"/>
          <c:dLbls>
            <c:txPr>
              <a:bodyPr/>
              <a:lstStyle/>
              <a:p>
                <a:pPr>
                  <a:defRPr sz="1050">
                    <a:solidFill>
                      <a:schemeClr val="bg1"/>
                    </a:solidFill>
                  </a:defRPr>
                </a:pPr>
                <a:endParaRPr lang="en-US"/>
              </a:p>
            </c:txPr>
            <c:showLegendKey val="0"/>
            <c:showVal val="1"/>
            <c:showCatName val="0"/>
            <c:showSerName val="0"/>
            <c:showPercent val="0"/>
            <c:showBubbleSize val="0"/>
            <c:showLeaderLines val="0"/>
          </c:dLbls>
          <c:cat>
            <c:strRef>
              <c:f>charts!$M$92:$M$103</c:f>
              <c:strCache>
                <c:ptCount val="12"/>
                <c:pt idx="0">
                  <c:v>Access to customers (1459)</c:v>
                </c:pt>
                <c:pt idx="1">
                  <c:v>Wide range of housing (1434)</c:v>
                </c:pt>
                <c:pt idx="2">
                  <c:v>Strong communities (1462)</c:v>
                </c:pt>
                <c:pt idx="3">
                  <c:v>Access to suppliers (1407)</c:v>
                </c:pt>
                <c:pt idx="4">
                  <c:v>A place my business can grow (1455)</c:v>
                </c:pt>
                <c:pt idx="5">
                  <c:v>Cost of premises/rents/business rates (1334)</c:v>
                </c:pt>
                <c:pt idx="6">
                  <c:v>Availability of skilled staff (1403)</c:v>
                </c:pt>
                <c:pt idx="7">
                  <c:v>Range of retail and leisure facilities (1471)</c:v>
                </c:pt>
                <c:pt idx="8">
                  <c:v>Support is available for businesses to grow (1351)</c:v>
                </c:pt>
                <c:pt idx="9">
                  <c:v>Image of Greater Lincolnshire as seen by external suppliers and customers (1284)</c:v>
                </c:pt>
                <c:pt idx="10">
                  <c:v>The profile of the county in terms of attracting people to move here to work (1426)</c:v>
                </c:pt>
                <c:pt idx="11">
                  <c:v>Transport infrastructure (1330)</c:v>
                </c:pt>
              </c:strCache>
            </c:strRef>
          </c:cat>
          <c:val>
            <c:numRef>
              <c:f>charts!$Q$92:$Q$103</c:f>
              <c:numCache>
                <c:formatCode>0%</c:formatCode>
                <c:ptCount val="12"/>
                <c:pt idx="0">
                  <c:v>0.49623029472241281</c:v>
                </c:pt>
                <c:pt idx="1">
                  <c:v>0.48744769874477067</c:v>
                </c:pt>
                <c:pt idx="2">
                  <c:v>0.48358413132695066</c:v>
                </c:pt>
                <c:pt idx="3">
                  <c:v>0.44847192608386638</c:v>
                </c:pt>
                <c:pt idx="4">
                  <c:v>0.43298969072165094</c:v>
                </c:pt>
                <c:pt idx="5">
                  <c:v>0.35532233883058556</c:v>
                </c:pt>
                <c:pt idx="6">
                  <c:v>0.3549536707056315</c:v>
                </c:pt>
                <c:pt idx="7">
                  <c:v>0.28484024473147518</c:v>
                </c:pt>
                <c:pt idx="8">
                  <c:v>0.27683197631384288</c:v>
                </c:pt>
                <c:pt idx="9">
                  <c:v>0.26557632398753966</c:v>
                </c:pt>
                <c:pt idx="10">
                  <c:v>0.22791023842917313</c:v>
                </c:pt>
                <c:pt idx="11">
                  <c:v>0.21052631578947409</c:v>
                </c:pt>
              </c:numCache>
            </c:numRef>
          </c:val>
        </c:ser>
        <c:dLbls>
          <c:showLegendKey val="0"/>
          <c:showVal val="1"/>
          <c:showCatName val="0"/>
          <c:showSerName val="0"/>
          <c:showPercent val="0"/>
          <c:showBubbleSize val="0"/>
        </c:dLbls>
        <c:gapWidth val="40"/>
        <c:overlap val="100"/>
        <c:axId val="24822528"/>
        <c:axId val="24824064"/>
      </c:barChart>
      <c:catAx>
        <c:axId val="24822528"/>
        <c:scaling>
          <c:orientation val="maxMin"/>
        </c:scaling>
        <c:delete val="0"/>
        <c:axPos val="l"/>
        <c:majorTickMark val="none"/>
        <c:minorTickMark val="none"/>
        <c:tickLblPos val="low"/>
        <c:txPr>
          <a:bodyPr/>
          <a:lstStyle/>
          <a:p>
            <a:pPr>
              <a:defRPr sz="1050"/>
            </a:pPr>
            <a:endParaRPr lang="en-US"/>
          </a:p>
        </c:txPr>
        <c:crossAx val="24824064"/>
        <c:crosses val="autoZero"/>
        <c:auto val="1"/>
        <c:lblAlgn val="ctr"/>
        <c:lblOffset val="100"/>
        <c:noMultiLvlLbl val="0"/>
      </c:catAx>
      <c:valAx>
        <c:axId val="24824064"/>
        <c:scaling>
          <c:orientation val="minMax"/>
        </c:scaling>
        <c:delete val="1"/>
        <c:axPos val="b"/>
        <c:numFmt formatCode="0%" sourceLinked="1"/>
        <c:majorTickMark val="none"/>
        <c:minorTickMark val="none"/>
        <c:tickLblPos val="none"/>
        <c:crossAx val="24822528"/>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565780619816872"/>
          <c:y val="8.2686431329877644E-2"/>
          <c:w val="0.6119688514386119"/>
          <c:h val="0.89866278038849012"/>
        </c:manualLayout>
      </c:layout>
      <c:barChart>
        <c:barDir val="bar"/>
        <c:grouping val="clustered"/>
        <c:varyColors val="0"/>
        <c:ser>
          <c:idx val="0"/>
          <c:order val="0"/>
          <c:tx>
            <c:strRef>
              <c:f>charts!$A$159</c:f>
              <c:strCache>
                <c:ptCount val="1"/>
                <c:pt idx="0">
                  <c:v>Within Greater Lincolnshire</c:v>
                </c:pt>
              </c:strCache>
            </c:strRef>
          </c:tx>
          <c:invertIfNegative val="0"/>
          <c:dLbls>
            <c:txPr>
              <a:bodyPr/>
              <a:lstStyle/>
              <a:p>
                <a:pPr>
                  <a:defRPr sz="1050"/>
                </a:pPr>
                <a:endParaRPr lang="en-US"/>
              </a:p>
            </c:txPr>
            <c:showLegendKey val="0"/>
            <c:showVal val="1"/>
            <c:showCatName val="0"/>
            <c:showSerName val="0"/>
            <c:showPercent val="0"/>
            <c:showBubbleSize val="0"/>
            <c:showLeaderLines val="0"/>
          </c:dLbls>
          <c:cat>
            <c:strRef>
              <c:f>charts!$B$158:$K$158</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charts!$B$159:$K$159</c:f>
              <c:numCache>
                <c:formatCode>0</c:formatCode>
                <c:ptCount val="10"/>
                <c:pt idx="0">
                  <c:v>56.88</c:v>
                </c:pt>
                <c:pt idx="1">
                  <c:v>71.8</c:v>
                </c:pt>
                <c:pt idx="2">
                  <c:v>61.81</c:v>
                </c:pt>
                <c:pt idx="3">
                  <c:v>57.91</c:v>
                </c:pt>
                <c:pt idx="4">
                  <c:v>35.630000000000003</c:v>
                </c:pt>
                <c:pt idx="5">
                  <c:v>65.36999999999999</c:v>
                </c:pt>
                <c:pt idx="6">
                  <c:v>51.33</c:v>
                </c:pt>
                <c:pt idx="7">
                  <c:v>60.95</c:v>
                </c:pt>
                <c:pt idx="8">
                  <c:v>60.34</c:v>
                </c:pt>
                <c:pt idx="9">
                  <c:v>74.63</c:v>
                </c:pt>
              </c:numCache>
            </c:numRef>
          </c:val>
        </c:ser>
        <c:ser>
          <c:idx val="1"/>
          <c:order val="1"/>
          <c:tx>
            <c:strRef>
              <c:f>charts!$A$160</c:f>
              <c:strCache>
                <c:ptCount val="1"/>
                <c:pt idx="0">
                  <c:v>Elsewhere in the UK</c:v>
                </c:pt>
              </c:strCache>
            </c:strRef>
          </c:tx>
          <c:invertIfNegative val="0"/>
          <c:dLbls>
            <c:txPr>
              <a:bodyPr/>
              <a:lstStyle/>
              <a:p>
                <a:pPr>
                  <a:defRPr sz="1050"/>
                </a:pPr>
                <a:endParaRPr lang="en-US"/>
              </a:p>
            </c:txPr>
            <c:showLegendKey val="0"/>
            <c:showVal val="1"/>
            <c:showCatName val="0"/>
            <c:showSerName val="0"/>
            <c:showPercent val="0"/>
            <c:showBubbleSize val="0"/>
            <c:showLeaderLines val="0"/>
          </c:dLbls>
          <c:cat>
            <c:strRef>
              <c:f>charts!$B$158:$K$158</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charts!$B$160:$K$160</c:f>
              <c:numCache>
                <c:formatCode>0</c:formatCode>
                <c:ptCount val="10"/>
                <c:pt idx="0">
                  <c:v>51.01</c:v>
                </c:pt>
                <c:pt idx="1">
                  <c:v>33.17</c:v>
                </c:pt>
                <c:pt idx="2">
                  <c:v>47.44</c:v>
                </c:pt>
                <c:pt idx="3">
                  <c:v>51.120000000000012</c:v>
                </c:pt>
                <c:pt idx="4">
                  <c:v>62.760000000000012</c:v>
                </c:pt>
                <c:pt idx="5">
                  <c:v>42.84</c:v>
                </c:pt>
                <c:pt idx="6">
                  <c:v>53.41</c:v>
                </c:pt>
                <c:pt idx="7">
                  <c:v>45.690000000000012</c:v>
                </c:pt>
                <c:pt idx="8">
                  <c:v>55.53</c:v>
                </c:pt>
                <c:pt idx="9">
                  <c:v>39.39</c:v>
                </c:pt>
              </c:numCache>
            </c:numRef>
          </c:val>
        </c:ser>
        <c:ser>
          <c:idx val="2"/>
          <c:order val="2"/>
          <c:tx>
            <c:strRef>
              <c:f>charts!$A$161</c:f>
              <c:strCache>
                <c:ptCount val="1"/>
                <c:pt idx="0">
                  <c:v>Overseas</c:v>
                </c:pt>
              </c:strCache>
            </c:strRef>
          </c:tx>
          <c:invertIfNegative val="0"/>
          <c:dLbls>
            <c:txPr>
              <a:bodyPr/>
              <a:lstStyle/>
              <a:p>
                <a:pPr>
                  <a:defRPr sz="1050"/>
                </a:pPr>
                <a:endParaRPr lang="en-US"/>
              </a:p>
            </c:txPr>
            <c:showLegendKey val="0"/>
            <c:showVal val="1"/>
            <c:showCatName val="0"/>
            <c:showSerName val="0"/>
            <c:showPercent val="0"/>
            <c:showBubbleSize val="0"/>
            <c:showLeaderLines val="0"/>
          </c:dLbls>
          <c:cat>
            <c:strRef>
              <c:f>charts!$B$158:$K$158</c:f>
              <c:strCache>
                <c:ptCount val="10"/>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strCache>
            </c:strRef>
          </c:cat>
          <c:val>
            <c:numRef>
              <c:f>charts!$B$161:$K$161</c:f>
              <c:numCache>
                <c:formatCode>0</c:formatCode>
                <c:ptCount val="10"/>
                <c:pt idx="0">
                  <c:v>16.2</c:v>
                </c:pt>
                <c:pt idx="1">
                  <c:v>16.91</c:v>
                </c:pt>
                <c:pt idx="2">
                  <c:v>5.98</c:v>
                </c:pt>
                <c:pt idx="3">
                  <c:v>10.43</c:v>
                </c:pt>
                <c:pt idx="4">
                  <c:v>11.17</c:v>
                </c:pt>
                <c:pt idx="5">
                  <c:v>7.17</c:v>
                </c:pt>
                <c:pt idx="6">
                  <c:v>24.59</c:v>
                </c:pt>
                <c:pt idx="7">
                  <c:v>18.18</c:v>
                </c:pt>
                <c:pt idx="8">
                  <c:v>5.64</c:v>
                </c:pt>
                <c:pt idx="9">
                  <c:v>2.5099999999999998</c:v>
                </c:pt>
              </c:numCache>
            </c:numRef>
          </c:val>
        </c:ser>
        <c:dLbls>
          <c:showLegendKey val="0"/>
          <c:showVal val="1"/>
          <c:showCatName val="0"/>
          <c:showSerName val="0"/>
          <c:showPercent val="0"/>
          <c:showBubbleSize val="0"/>
        </c:dLbls>
        <c:gapWidth val="40"/>
        <c:overlap val="-1"/>
        <c:axId val="52981760"/>
        <c:axId val="52983296"/>
      </c:barChart>
      <c:catAx>
        <c:axId val="52981760"/>
        <c:scaling>
          <c:orientation val="maxMin"/>
        </c:scaling>
        <c:delete val="0"/>
        <c:axPos val="l"/>
        <c:majorTickMark val="none"/>
        <c:minorTickMark val="none"/>
        <c:tickLblPos val="nextTo"/>
        <c:txPr>
          <a:bodyPr/>
          <a:lstStyle/>
          <a:p>
            <a:pPr>
              <a:defRPr sz="1050"/>
            </a:pPr>
            <a:endParaRPr lang="en-US"/>
          </a:p>
        </c:txPr>
        <c:crossAx val="52983296"/>
        <c:crosses val="autoZero"/>
        <c:auto val="1"/>
        <c:lblAlgn val="ctr"/>
        <c:lblOffset val="100"/>
        <c:noMultiLvlLbl val="0"/>
      </c:catAx>
      <c:valAx>
        <c:axId val="52983296"/>
        <c:scaling>
          <c:orientation val="minMax"/>
        </c:scaling>
        <c:delete val="1"/>
        <c:axPos val="b"/>
        <c:numFmt formatCode="0" sourceLinked="1"/>
        <c:majorTickMark val="out"/>
        <c:minorTickMark val="none"/>
        <c:tickLblPos val="none"/>
        <c:crossAx val="52981760"/>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charts!$A$178</c:f>
              <c:strCache>
                <c:ptCount val="1"/>
                <c:pt idx="0">
                  <c:v>No website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charts!$B$177:$Q$177</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 Engineering (85)</c:v>
                </c:pt>
                <c:pt idx="12">
                  <c:v>Visitor Economy (169)</c:v>
                </c:pt>
                <c:pt idx="13">
                  <c:v>  Renewables* (6)</c:v>
                </c:pt>
                <c:pt idx="14">
                  <c:v>Ports &amp; Logistics* (30)</c:v>
                </c:pt>
                <c:pt idx="15">
                  <c:v>Health &amp; Care (113)</c:v>
                </c:pt>
              </c:strCache>
            </c:strRef>
          </c:cat>
          <c:val>
            <c:numRef>
              <c:f>charts!$B$178:$Q$178</c:f>
              <c:numCache>
                <c:formatCode>0%</c:formatCode>
                <c:ptCount val="16"/>
                <c:pt idx="0">
                  <c:v>0.2400000000000001</c:v>
                </c:pt>
                <c:pt idx="1">
                  <c:v>0.71000000000000041</c:v>
                </c:pt>
                <c:pt idx="2">
                  <c:v>0.15000000000000011</c:v>
                </c:pt>
                <c:pt idx="3">
                  <c:v>0.14000000000000001</c:v>
                </c:pt>
                <c:pt idx="4">
                  <c:v>0.16</c:v>
                </c:pt>
                <c:pt idx="5">
                  <c:v>0.23</c:v>
                </c:pt>
                <c:pt idx="6">
                  <c:v>0.25</c:v>
                </c:pt>
                <c:pt idx="7">
                  <c:v>0.23</c:v>
                </c:pt>
                <c:pt idx="8">
                  <c:v>0.28000000000000008</c:v>
                </c:pt>
                <c:pt idx="9">
                  <c:v>0.2100000000000001</c:v>
                </c:pt>
                <c:pt idx="10">
                  <c:v>0.46</c:v>
                </c:pt>
                <c:pt idx="11">
                  <c:v>0.15000000000000011</c:v>
                </c:pt>
                <c:pt idx="12">
                  <c:v>0.27</c:v>
                </c:pt>
                <c:pt idx="13">
                  <c:v>0.2</c:v>
                </c:pt>
                <c:pt idx="14">
                  <c:v>0.2100000000000001</c:v>
                </c:pt>
                <c:pt idx="15">
                  <c:v>0.2400000000000001</c:v>
                </c:pt>
              </c:numCache>
            </c:numRef>
          </c:val>
        </c:ser>
        <c:ser>
          <c:idx val="1"/>
          <c:order val="1"/>
          <c:tx>
            <c:strRef>
              <c:f>charts!$A$179</c:f>
              <c:strCache>
                <c:ptCount val="1"/>
                <c:pt idx="0">
                  <c:v>Have a website for advertising only</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charts!$B$177:$Q$177</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 Engineering (85)</c:v>
                </c:pt>
                <c:pt idx="12">
                  <c:v>Visitor Economy (169)</c:v>
                </c:pt>
                <c:pt idx="13">
                  <c:v>  Renewables* (6)</c:v>
                </c:pt>
                <c:pt idx="14">
                  <c:v>Ports &amp; Logistics* (30)</c:v>
                </c:pt>
                <c:pt idx="15">
                  <c:v>Health &amp; Care (113)</c:v>
                </c:pt>
              </c:strCache>
            </c:strRef>
          </c:cat>
          <c:val>
            <c:numRef>
              <c:f>charts!$B$179:$Q$179</c:f>
              <c:numCache>
                <c:formatCode>0%</c:formatCode>
                <c:ptCount val="16"/>
                <c:pt idx="0">
                  <c:v>0.44</c:v>
                </c:pt>
                <c:pt idx="1">
                  <c:v>0.16</c:v>
                </c:pt>
                <c:pt idx="2">
                  <c:v>0.62000000000000044</c:v>
                </c:pt>
                <c:pt idx="3">
                  <c:v>0.52</c:v>
                </c:pt>
                <c:pt idx="4">
                  <c:v>0.53</c:v>
                </c:pt>
                <c:pt idx="5">
                  <c:v>0.61000000000000043</c:v>
                </c:pt>
                <c:pt idx="6">
                  <c:v>0.36000000000000021</c:v>
                </c:pt>
                <c:pt idx="7">
                  <c:v>0.44</c:v>
                </c:pt>
                <c:pt idx="8">
                  <c:v>0.52</c:v>
                </c:pt>
                <c:pt idx="9">
                  <c:v>0.57000000000000051</c:v>
                </c:pt>
                <c:pt idx="10">
                  <c:v>0.29000000000000026</c:v>
                </c:pt>
                <c:pt idx="11">
                  <c:v>0.52</c:v>
                </c:pt>
                <c:pt idx="12">
                  <c:v>0.42000000000000021</c:v>
                </c:pt>
                <c:pt idx="13">
                  <c:v>0.4800000000000002</c:v>
                </c:pt>
                <c:pt idx="14">
                  <c:v>0.30000000000000021</c:v>
                </c:pt>
                <c:pt idx="15">
                  <c:v>0.59000000000000008</c:v>
                </c:pt>
              </c:numCache>
            </c:numRef>
          </c:val>
        </c:ser>
        <c:ser>
          <c:idx val="2"/>
          <c:order val="2"/>
          <c:tx>
            <c:strRef>
              <c:f>charts!$A$180</c:f>
              <c:strCache>
                <c:ptCount val="1"/>
                <c:pt idx="0">
                  <c:v>Have a website for e-commerce </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charts!$B$177:$Q$177</c:f>
              <c:strCache>
                <c:ptCount val="16"/>
                <c:pt idx="0">
                  <c:v>All employers (1515)</c:v>
                </c:pt>
                <c:pt idx="1">
                  <c:v>Agriculture/fishing (75)</c:v>
                </c:pt>
                <c:pt idx="2">
                  <c:v>Energy/water* (18)</c:v>
                </c:pt>
                <c:pt idx="3">
                  <c:v>Banking/Finance/ Insurance (325)</c:v>
                </c:pt>
                <c:pt idx="4">
                  <c:v>Manufacturing (89)</c:v>
                </c:pt>
                <c:pt idx="5">
                  <c:v>Construction (133)</c:v>
                </c:pt>
                <c:pt idx="6">
                  <c:v>Distribution/hotels/restaurants (461)</c:v>
                </c:pt>
                <c:pt idx="7">
                  <c:v>Transport/communications (95)</c:v>
                </c:pt>
                <c:pt idx="8">
                  <c:v>Other Services (88)</c:v>
                </c:pt>
                <c:pt idx="9">
                  <c:v>Public administration/education/health (231)</c:v>
                </c:pt>
                <c:pt idx="10">
                  <c:v>Agri-food (172)</c:v>
                </c:pt>
                <c:pt idx="11">
                  <c:v>Manufacturing/ Engineering (85)</c:v>
                </c:pt>
                <c:pt idx="12">
                  <c:v>Visitor Economy (169)</c:v>
                </c:pt>
                <c:pt idx="13">
                  <c:v>  Renewables* (6)</c:v>
                </c:pt>
                <c:pt idx="14">
                  <c:v>Ports &amp; Logistics* (30)</c:v>
                </c:pt>
                <c:pt idx="15">
                  <c:v>Health &amp; Care (113)</c:v>
                </c:pt>
              </c:strCache>
            </c:strRef>
          </c:cat>
          <c:val>
            <c:numRef>
              <c:f>charts!$B$180:$Q$180</c:f>
              <c:numCache>
                <c:formatCode>0%</c:formatCode>
                <c:ptCount val="16"/>
                <c:pt idx="0">
                  <c:v>0.30000000000000021</c:v>
                </c:pt>
                <c:pt idx="1">
                  <c:v>0.12000000000000002</c:v>
                </c:pt>
                <c:pt idx="2">
                  <c:v>0.23</c:v>
                </c:pt>
                <c:pt idx="3">
                  <c:v>0.33000000000000035</c:v>
                </c:pt>
                <c:pt idx="4">
                  <c:v>0.31000000000000022</c:v>
                </c:pt>
                <c:pt idx="5">
                  <c:v>0.15000000000000011</c:v>
                </c:pt>
                <c:pt idx="6">
                  <c:v>0.39000000000000024</c:v>
                </c:pt>
                <c:pt idx="7">
                  <c:v>0.31000000000000022</c:v>
                </c:pt>
                <c:pt idx="8">
                  <c:v>0.19</c:v>
                </c:pt>
                <c:pt idx="9">
                  <c:v>0.2</c:v>
                </c:pt>
                <c:pt idx="10">
                  <c:v>0.23</c:v>
                </c:pt>
                <c:pt idx="11">
                  <c:v>0.33000000000000035</c:v>
                </c:pt>
                <c:pt idx="12">
                  <c:v>0.31000000000000022</c:v>
                </c:pt>
                <c:pt idx="13">
                  <c:v>0.31000000000000022</c:v>
                </c:pt>
                <c:pt idx="14">
                  <c:v>0.45</c:v>
                </c:pt>
                <c:pt idx="15">
                  <c:v>0.16</c:v>
                </c:pt>
              </c:numCache>
            </c:numRef>
          </c:val>
        </c:ser>
        <c:dLbls>
          <c:showLegendKey val="0"/>
          <c:showVal val="1"/>
          <c:showCatName val="0"/>
          <c:showSerName val="0"/>
          <c:showPercent val="0"/>
          <c:showBubbleSize val="0"/>
        </c:dLbls>
        <c:gapWidth val="40"/>
        <c:overlap val="100"/>
        <c:axId val="25244032"/>
        <c:axId val="25245568"/>
      </c:barChart>
      <c:catAx>
        <c:axId val="25244032"/>
        <c:scaling>
          <c:orientation val="maxMin"/>
        </c:scaling>
        <c:delete val="0"/>
        <c:axPos val="l"/>
        <c:majorTickMark val="none"/>
        <c:minorTickMark val="none"/>
        <c:tickLblPos val="low"/>
        <c:txPr>
          <a:bodyPr/>
          <a:lstStyle/>
          <a:p>
            <a:pPr>
              <a:defRPr sz="1050"/>
            </a:pPr>
            <a:endParaRPr lang="en-US"/>
          </a:p>
        </c:txPr>
        <c:crossAx val="25245568"/>
        <c:crosses val="autoZero"/>
        <c:auto val="1"/>
        <c:lblAlgn val="ctr"/>
        <c:lblOffset val="100"/>
        <c:noMultiLvlLbl val="0"/>
      </c:catAx>
      <c:valAx>
        <c:axId val="25245568"/>
        <c:scaling>
          <c:orientation val="minMax"/>
        </c:scaling>
        <c:delete val="1"/>
        <c:axPos val="b"/>
        <c:numFmt formatCode="0%" sourceLinked="1"/>
        <c:majorTickMark val="none"/>
        <c:minorTickMark val="none"/>
        <c:tickLblPos val="none"/>
        <c:crossAx val="25244032"/>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Lbls>
            <c:txPr>
              <a:bodyPr/>
              <a:lstStyle/>
              <a:p>
                <a:pPr>
                  <a:defRPr sz="1100"/>
                </a:pPr>
                <a:endParaRPr lang="en-US"/>
              </a:p>
            </c:txPr>
            <c:showLegendKey val="0"/>
            <c:showVal val="1"/>
            <c:showCatName val="0"/>
            <c:showSerName val="0"/>
            <c:showPercent val="0"/>
            <c:showBubbleSize val="0"/>
            <c:showLeaderLines val="0"/>
          </c:dLbls>
          <c:cat>
            <c:strRef>
              <c:f>charts!$E$188:$E$193</c:f>
              <c:strCache>
                <c:ptCount val="6"/>
                <c:pt idx="0">
                  <c:v>Use social media in their marketing plan at all</c:v>
                </c:pt>
                <c:pt idx="1">
                  <c:v>Facebook</c:v>
                </c:pt>
                <c:pt idx="2">
                  <c:v>Twitter</c:v>
                </c:pt>
                <c:pt idx="3">
                  <c:v>LinkedIn</c:v>
                </c:pt>
                <c:pt idx="4">
                  <c:v>YouTube</c:v>
                </c:pt>
                <c:pt idx="5">
                  <c:v>Instagram</c:v>
                </c:pt>
              </c:strCache>
            </c:strRef>
          </c:cat>
          <c:val>
            <c:numRef>
              <c:f>charts!$F$188:$F$193</c:f>
              <c:numCache>
                <c:formatCode>0%</c:formatCode>
                <c:ptCount val="6"/>
                <c:pt idx="0">
                  <c:v>0.47492260061919578</c:v>
                </c:pt>
                <c:pt idx="1">
                  <c:v>0.40928792569659445</c:v>
                </c:pt>
                <c:pt idx="2">
                  <c:v>0.25572755417956655</c:v>
                </c:pt>
                <c:pt idx="3">
                  <c:v>8.6068111455108023E-2</c:v>
                </c:pt>
                <c:pt idx="4">
                  <c:v>2.9721362229102211E-2</c:v>
                </c:pt>
                <c:pt idx="5">
                  <c:v>2.4148606811145508E-2</c:v>
                </c:pt>
              </c:numCache>
            </c:numRef>
          </c:val>
        </c:ser>
        <c:dLbls>
          <c:showLegendKey val="0"/>
          <c:showVal val="1"/>
          <c:showCatName val="0"/>
          <c:showSerName val="0"/>
          <c:showPercent val="0"/>
          <c:showBubbleSize val="0"/>
        </c:dLbls>
        <c:gapWidth val="40"/>
        <c:axId val="25261568"/>
        <c:axId val="25263104"/>
      </c:barChart>
      <c:catAx>
        <c:axId val="25261568"/>
        <c:scaling>
          <c:orientation val="maxMin"/>
        </c:scaling>
        <c:delete val="0"/>
        <c:axPos val="l"/>
        <c:majorTickMark val="none"/>
        <c:minorTickMark val="none"/>
        <c:tickLblPos val="low"/>
        <c:crossAx val="25263104"/>
        <c:crosses val="autoZero"/>
        <c:auto val="1"/>
        <c:lblAlgn val="ctr"/>
        <c:lblOffset val="100"/>
        <c:noMultiLvlLbl val="0"/>
      </c:catAx>
      <c:valAx>
        <c:axId val="25263104"/>
        <c:scaling>
          <c:orientation val="minMax"/>
          <c:max val="0.55000000000000004"/>
        </c:scaling>
        <c:delete val="1"/>
        <c:axPos val="b"/>
        <c:numFmt formatCode="0%" sourceLinked="1"/>
        <c:majorTickMark val="none"/>
        <c:minorTickMark val="none"/>
        <c:tickLblPos val="none"/>
        <c:crossAx val="25261568"/>
        <c:crosses val="max"/>
        <c:crossBetween val="between"/>
      </c:valAx>
    </c:plotArea>
    <c:plotVisOnly val="1"/>
    <c:dispBlanksAs val="gap"/>
    <c:showDLblsOverMax val="0"/>
  </c:chart>
  <c:spPr>
    <a:ln>
      <a:noFill/>
    </a:ln>
  </c:spPr>
  <c:txPr>
    <a:bodyPr/>
    <a:lstStyle/>
    <a:p>
      <a:pPr>
        <a:defRPr sz="105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charts!$B$203</c:f>
              <c:strCache>
                <c:ptCount val="1"/>
                <c:pt idx="0">
                  <c:v>Don't know</c:v>
                </c:pt>
              </c:strCache>
            </c:strRef>
          </c:tx>
          <c:invertIfNegative val="0"/>
          <c:dLbls>
            <c:dLbl>
              <c:idx val="0"/>
              <c:layout>
                <c:manualLayout>
                  <c:x val="6.7567567567567571E-3"/>
                  <c:y val="5.2631578947368474E-2"/>
                </c:manualLayout>
              </c:layout>
              <c:showLegendKey val="0"/>
              <c:showVal val="1"/>
              <c:showCatName val="0"/>
              <c:showSerName val="0"/>
              <c:showPercent val="0"/>
              <c:showBubbleSize val="0"/>
            </c:dLbl>
            <c:dLbl>
              <c:idx val="1"/>
              <c:layout>
                <c:manualLayout>
                  <c:x val="1.8018018018018021E-2"/>
                  <c:y val="-5.9649122807017479E-2"/>
                </c:manualLayout>
              </c:layout>
              <c:showLegendKey val="0"/>
              <c:showVal val="1"/>
              <c:showCatName val="0"/>
              <c:showSerName val="0"/>
              <c:showPercent val="0"/>
              <c:showBubbleSize val="0"/>
            </c:dLbl>
            <c:dLbl>
              <c:idx val="2"/>
              <c:layout>
                <c:manualLayout>
                  <c:x val="6.7567567567567571E-3"/>
                  <c:y val="5.9649399088271861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strRef>
              <c:f>charts!$A$204:$A$206</c:f>
              <c:strCache>
                <c:ptCount val="3"/>
                <c:pt idx="0">
                  <c:v>Universal access to superfast broadband is important for the local economy</c:v>
                </c:pt>
                <c:pt idx="1">
                  <c:v>Having access to superfast broadband is important for my business</c:v>
                </c:pt>
                <c:pt idx="2">
                  <c:v>Access to broadband for home-working is important for my business</c:v>
                </c:pt>
              </c:strCache>
            </c:strRef>
          </c:cat>
          <c:val>
            <c:numRef>
              <c:f>charts!$B$204:$B$206</c:f>
              <c:numCache>
                <c:formatCode>0%</c:formatCode>
                <c:ptCount val="3"/>
                <c:pt idx="0">
                  <c:v>4.0000000000000022E-2</c:v>
                </c:pt>
                <c:pt idx="1">
                  <c:v>3.0000000000000002E-2</c:v>
                </c:pt>
                <c:pt idx="2">
                  <c:v>6.0000000000000032E-2</c:v>
                </c:pt>
              </c:numCache>
            </c:numRef>
          </c:val>
        </c:ser>
        <c:ser>
          <c:idx val="1"/>
          <c:order val="1"/>
          <c:tx>
            <c:strRef>
              <c:f>charts!$C$203</c:f>
              <c:strCache>
                <c:ptCount val="1"/>
                <c:pt idx="0">
                  <c:v>Strongly disagree</c:v>
                </c:pt>
              </c:strCache>
            </c:strRef>
          </c:tx>
          <c:invertIfNegative val="0"/>
          <c:dLbls>
            <c:dLbl>
              <c:idx val="1"/>
              <c:layout>
                <c:manualLayout>
                  <c:x val="4.5045045045045053E-3"/>
                  <c:y val="5.6140350877193046E-2"/>
                </c:manualLayout>
              </c:layout>
              <c:spPr/>
              <c:txPr>
                <a:bodyPr/>
                <a:lstStyle/>
                <a:p>
                  <a:pPr>
                    <a:defRPr>
                      <a:solidFill>
                        <a:schemeClr val="bg1"/>
                      </a:solidFill>
                    </a:defRPr>
                  </a:pPr>
                  <a:endParaRPr lang="en-US"/>
                </a:p>
              </c:txPr>
              <c:showLegendKey val="0"/>
              <c:showVal val="1"/>
              <c:showCatName val="0"/>
              <c:showSerName val="0"/>
              <c:showPercent val="0"/>
              <c:showBubbleSize val="0"/>
            </c:dLbl>
            <c:dLbl>
              <c:idx val="2"/>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charts!$A$204:$A$206</c:f>
              <c:strCache>
                <c:ptCount val="3"/>
                <c:pt idx="0">
                  <c:v>Universal access to superfast broadband is important for the local economy</c:v>
                </c:pt>
                <c:pt idx="1">
                  <c:v>Having access to superfast broadband is important for my business</c:v>
                </c:pt>
                <c:pt idx="2">
                  <c:v>Access to broadband for home-working is important for my business</c:v>
                </c:pt>
              </c:strCache>
            </c:strRef>
          </c:cat>
          <c:val>
            <c:numRef>
              <c:f>charts!$C$204:$C$206</c:f>
              <c:numCache>
                <c:formatCode>0%</c:formatCode>
                <c:ptCount val="3"/>
                <c:pt idx="0">
                  <c:v>1.0000000000000005E-2</c:v>
                </c:pt>
                <c:pt idx="1">
                  <c:v>1.0000000000000005E-2</c:v>
                </c:pt>
                <c:pt idx="2">
                  <c:v>0.05</c:v>
                </c:pt>
              </c:numCache>
            </c:numRef>
          </c:val>
        </c:ser>
        <c:ser>
          <c:idx val="2"/>
          <c:order val="2"/>
          <c:tx>
            <c:strRef>
              <c:f>charts!$D$203</c:f>
              <c:strCache>
                <c:ptCount val="1"/>
                <c:pt idx="0">
                  <c:v>Disagree</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charts!$A$204:$A$206</c:f>
              <c:strCache>
                <c:ptCount val="3"/>
                <c:pt idx="0">
                  <c:v>Universal access to superfast broadband is important for the local economy</c:v>
                </c:pt>
                <c:pt idx="1">
                  <c:v>Having access to superfast broadband is important for my business</c:v>
                </c:pt>
                <c:pt idx="2">
                  <c:v>Access to broadband for home-working is important for my business</c:v>
                </c:pt>
              </c:strCache>
            </c:strRef>
          </c:cat>
          <c:val>
            <c:numRef>
              <c:f>charts!$D$204:$D$206</c:f>
              <c:numCache>
                <c:formatCode>0%</c:formatCode>
                <c:ptCount val="3"/>
                <c:pt idx="0">
                  <c:v>3.0000000000000002E-2</c:v>
                </c:pt>
                <c:pt idx="1">
                  <c:v>0.1</c:v>
                </c:pt>
                <c:pt idx="2">
                  <c:v>0.22</c:v>
                </c:pt>
              </c:numCache>
            </c:numRef>
          </c:val>
        </c:ser>
        <c:ser>
          <c:idx val="3"/>
          <c:order val="3"/>
          <c:tx>
            <c:strRef>
              <c:f>charts!$E$203</c:f>
              <c:strCache>
                <c:ptCount val="1"/>
                <c:pt idx="0">
                  <c:v>Agree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charts!$A$204:$A$206</c:f>
              <c:strCache>
                <c:ptCount val="3"/>
                <c:pt idx="0">
                  <c:v>Universal access to superfast broadband is important for the local economy</c:v>
                </c:pt>
                <c:pt idx="1">
                  <c:v>Having access to superfast broadband is important for my business</c:v>
                </c:pt>
                <c:pt idx="2">
                  <c:v>Access to broadband for home-working is important for my business</c:v>
                </c:pt>
              </c:strCache>
            </c:strRef>
          </c:cat>
          <c:val>
            <c:numRef>
              <c:f>charts!$E$204:$E$206</c:f>
              <c:numCache>
                <c:formatCode>0%</c:formatCode>
                <c:ptCount val="3"/>
                <c:pt idx="0">
                  <c:v>0.34</c:v>
                </c:pt>
                <c:pt idx="1">
                  <c:v>0.36000000000000032</c:v>
                </c:pt>
                <c:pt idx="2">
                  <c:v>0.34</c:v>
                </c:pt>
              </c:numCache>
            </c:numRef>
          </c:val>
        </c:ser>
        <c:ser>
          <c:idx val="4"/>
          <c:order val="4"/>
          <c:tx>
            <c:strRef>
              <c:f>charts!$F$203</c:f>
              <c:strCache>
                <c:ptCount val="1"/>
                <c:pt idx="0">
                  <c:v>Strongly agree</c:v>
                </c:pt>
              </c:strCache>
            </c:strRef>
          </c:tx>
          <c:invertIfNegative val="0"/>
          <c:dLbls>
            <c:txPr>
              <a:bodyPr/>
              <a:lstStyle/>
              <a:p>
                <a:pPr>
                  <a:defRPr sz="1100">
                    <a:solidFill>
                      <a:schemeClr val="bg1"/>
                    </a:solidFill>
                  </a:defRPr>
                </a:pPr>
                <a:endParaRPr lang="en-US"/>
              </a:p>
            </c:txPr>
            <c:showLegendKey val="0"/>
            <c:showVal val="1"/>
            <c:showCatName val="0"/>
            <c:showSerName val="0"/>
            <c:showPercent val="0"/>
            <c:showBubbleSize val="0"/>
            <c:showLeaderLines val="0"/>
          </c:dLbls>
          <c:cat>
            <c:strRef>
              <c:f>charts!$A$204:$A$206</c:f>
              <c:strCache>
                <c:ptCount val="3"/>
                <c:pt idx="0">
                  <c:v>Universal access to superfast broadband is important for the local economy</c:v>
                </c:pt>
                <c:pt idx="1">
                  <c:v>Having access to superfast broadband is important for my business</c:v>
                </c:pt>
                <c:pt idx="2">
                  <c:v>Access to broadband for home-working is important for my business</c:v>
                </c:pt>
              </c:strCache>
            </c:strRef>
          </c:cat>
          <c:val>
            <c:numRef>
              <c:f>charts!$F$204:$F$206</c:f>
              <c:numCache>
                <c:formatCode>0%</c:formatCode>
                <c:ptCount val="3"/>
                <c:pt idx="0">
                  <c:v>0.59</c:v>
                </c:pt>
                <c:pt idx="1">
                  <c:v>0.5</c:v>
                </c:pt>
                <c:pt idx="2">
                  <c:v>0.33000000000000096</c:v>
                </c:pt>
              </c:numCache>
            </c:numRef>
          </c:val>
        </c:ser>
        <c:dLbls>
          <c:showLegendKey val="0"/>
          <c:showVal val="1"/>
          <c:showCatName val="0"/>
          <c:showSerName val="0"/>
          <c:showPercent val="0"/>
          <c:showBubbleSize val="0"/>
        </c:dLbls>
        <c:gapWidth val="40"/>
        <c:overlap val="100"/>
        <c:axId val="97546624"/>
        <c:axId val="97548160"/>
      </c:barChart>
      <c:catAx>
        <c:axId val="97546624"/>
        <c:scaling>
          <c:orientation val="maxMin"/>
        </c:scaling>
        <c:delete val="0"/>
        <c:axPos val="l"/>
        <c:majorTickMark val="none"/>
        <c:minorTickMark val="none"/>
        <c:tickLblPos val="low"/>
        <c:txPr>
          <a:bodyPr/>
          <a:lstStyle/>
          <a:p>
            <a:pPr>
              <a:defRPr sz="1050"/>
            </a:pPr>
            <a:endParaRPr lang="en-US"/>
          </a:p>
        </c:txPr>
        <c:crossAx val="97548160"/>
        <c:crosses val="autoZero"/>
        <c:auto val="1"/>
        <c:lblAlgn val="ctr"/>
        <c:lblOffset val="100"/>
        <c:noMultiLvlLbl val="0"/>
      </c:catAx>
      <c:valAx>
        <c:axId val="97548160"/>
        <c:scaling>
          <c:orientation val="minMax"/>
        </c:scaling>
        <c:delete val="1"/>
        <c:axPos val="b"/>
        <c:numFmt formatCode="0%" sourceLinked="1"/>
        <c:majorTickMark val="none"/>
        <c:minorTickMark val="none"/>
        <c:tickLblPos val="none"/>
        <c:crossAx val="97546624"/>
        <c:crosses val="max"/>
        <c:crossBetween val="between"/>
      </c:valAx>
    </c:plotArea>
    <c:legend>
      <c:legendPos val="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BMGResearch">
      <a:dk1>
        <a:sysClr val="windowText" lastClr="000000"/>
      </a:dk1>
      <a:lt1>
        <a:sysClr val="window" lastClr="FFFFFF"/>
      </a:lt1>
      <a:dk2>
        <a:srgbClr val="082E4B"/>
      </a:dk2>
      <a:lt2>
        <a:srgbClr val="EEECE1"/>
      </a:lt2>
      <a:accent1>
        <a:srgbClr val="0075A4"/>
      </a:accent1>
      <a:accent2>
        <a:srgbClr val="9E1F63"/>
      </a:accent2>
      <a:accent3>
        <a:srgbClr val="AED151"/>
      </a:accent3>
      <a:accent4>
        <a:srgbClr val="F89701"/>
      </a:accent4>
      <a:accent5>
        <a:srgbClr val="B294C9"/>
      </a:accent5>
      <a:accent6>
        <a:srgbClr val="73A5D8"/>
      </a:accent6>
      <a:hlink>
        <a:srgbClr val="0D9699"/>
      </a:hlink>
      <a:folHlink>
        <a:srgbClr val="0D9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F54CEC-3F47-4ECE-A329-277FE2162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24386</Words>
  <Characters>139005</Characters>
  <Application>Microsoft Office Word</Application>
  <DocSecurity>4</DocSecurity>
  <Lines>1158</Lines>
  <Paragraphs>326</Paragraphs>
  <ScaleCrop>false</ScaleCrop>
  <HeadingPairs>
    <vt:vector size="2" baseType="variant">
      <vt:variant>
        <vt:lpstr>Title</vt:lpstr>
      </vt:variant>
      <vt:variant>
        <vt:i4>1</vt:i4>
      </vt:variant>
    </vt:vector>
  </HeadingPairs>
  <TitlesOfParts>
    <vt:vector size="1" baseType="lpstr">
      <vt:lpstr>Greater Lincolnshire Employer Survey 2014</vt:lpstr>
    </vt:vector>
  </TitlesOfParts>
  <Company>Lincolnshire County Council</Company>
  <LinksUpToDate>false</LinksUpToDate>
  <CharactersWithSpaces>163065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Lincolnshire Employer Survey 2014</dc:title>
  <dc:subject>Greater Lincolnshire Local Enterprise Partnership (GLLEP), Lincolnshire County Council and the Lincolnshire and Rutland Employment and Skills Board</dc:subject>
  <dc:creator>Denisej</dc:creator>
  <cp:lastModifiedBy>Amanda O'Connor</cp:lastModifiedBy>
  <cp:revision>2</cp:revision>
  <cp:lastPrinted>2014-07-25T10:42:00Z</cp:lastPrinted>
  <dcterms:created xsi:type="dcterms:W3CDTF">2014-09-01T07:21:00Z</dcterms:created>
  <dcterms:modified xsi:type="dcterms:W3CDTF">2014-09-01T07:21:00Z</dcterms:modified>
  <cp:category>Research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5521</vt:lpwstr>
  </property>
</Properties>
</file>